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D5B3" w14:textId="742AE552" w:rsidR="00530D72" w:rsidRPr="00C349E8" w:rsidRDefault="00C349E8" w:rsidP="00530D72">
      <w:pPr>
        <w:jc w:val="center"/>
        <w:rPr>
          <w:b/>
          <w:sz w:val="36"/>
          <w:szCs w:val="36"/>
        </w:rPr>
      </w:pPr>
      <w:r>
        <w:rPr>
          <w:noProof/>
          <w:lang w:eastAsia="en-IE"/>
        </w:rPr>
        <w:drawing>
          <wp:anchor distT="0" distB="0" distL="114300" distR="114300" simplePos="0" relativeHeight="251658240" behindDoc="1" locked="0" layoutInCell="1" allowOverlap="1" wp14:anchorId="6FADF01A" wp14:editId="7EE10935">
            <wp:simplePos x="0" y="0"/>
            <wp:positionH relativeFrom="column">
              <wp:posOffset>0</wp:posOffset>
            </wp:positionH>
            <wp:positionV relativeFrom="paragraph">
              <wp:posOffset>0</wp:posOffset>
            </wp:positionV>
            <wp:extent cx="1845629" cy="578880"/>
            <wp:effectExtent l="0" t="0" r="2540" b="0"/>
            <wp:wrapTight wrapText="bothSides">
              <wp:wrapPolygon edited="0">
                <wp:start x="0" y="0"/>
                <wp:lineTo x="0" y="20628"/>
                <wp:lineTo x="21407" y="20628"/>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T_Logo_2012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5629" cy="578880"/>
                    </a:xfrm>
                    <a:prstGeom prst="rect">
                      <a:avLst/>
                    </a:prstGeom>
                  </pic:spPr>
                </pic:pic>
              </a:graphicData>
            </a:graphic>
            <wp14:sizeRelH relativeFrom="page">
              <wp14:pctWidth>0</wp14:pctWidth>
            </wp14:sizeRelH>
            <wp14:sizeRelV relativeFrom="page">
              <wp14:pctHeight>0</wp14:pctHeight>
            </wp14:sizeRelV>
          </wp:anchor>
        </w:drawing>
      </w:r>
      <w:r w:rsidR="00530D72">
        <w:rPr>
          <w:b/>
          <w:sz w:val="36"/>
          <w:szCs w:val="36"/>
        </w:rPr>
        <w:t>VALIDATION REPORT</w:t>
      </w:r>
    </w:p>
    <w:p w14:paraId="4CBD0479" w14:textId="77777777" w:rsidR="00C349E8" w:rsidRDefault="00C349E8"/>
    <w:tbl>
      <w:tblPr>
        <w:tblStyle w:val="TableGrid"/>
        <w:tblW w:w="9081" w:type="dxa"/>
        <w:tblLook w:val="04A0" w:firstRow="1" w:lastRow="0" w:firstColumn="1" w:lastColumn="0" w:noHBand="0" w:noVBand="1"/>
      </w:tblPr>
      <w:tblGrid>
        <w:gridCol w:w="520"/>
        <w:gridCol w:w="2353"/>
        <w:gridCol w:w="3619"/>
        <w:gridCol w:w="2589"/>
      </w:tblGrid>
      <w:tr w:rsidR="00C349E8" w:rsidRPr="00E2654A" w14:paraId="0D940DF3" w14:textId="77777777" w:rsidTr="470D481D">
        <w:tc>
          <w:tcPr>
            <w:tcW w:w="520" w:type="dxa"/>
          </w:tcPr>
          <w:p w14:paraId="0A6171F9" w14:textId="77777777" w:rsidR="00C349E8" w:rsidRPr="00E2654A" w:rsidRDefault="00C349E8" w:rsidP="00C349E8">
            <w:pPr>
              <w:rPr>
                <w:rFonts w:cstheme="minorHAnsi"/>
                <w:color w:val="FF0000"/>
              </w:rPr>
            </w:pPr>
            <w:r w:rsidRPr="00E2654A">
              <w:rPr>
                <w:rFonts w:cstheme="minorHAnsi"/>
                <w:color w:val="FF0000"/>
              </w:rPr>
              <w:t>1.</w:t>
            </w:r>
          </w:p>
        </w:tc>
        <w:tc>
          <w:tcPr>
            <w:tcW w:w="2353" w:type="dxa"/>
          </w:tcPr>
          <w:p w14:paraId="575E1308" w14:textId="77777777" w:rsidR="00C349E8" w:rsidRPr="00E2654A" w:rsidRDefault="00C349E8" w:rsidP="00C349E8">
            <w:pPr>
              <w:rPr>
                <w:rFonts w:cstheme="minorHAnsi"/>
                <w:color w:val="FF0000"/>
              </w:rPr>
            </w:pPr>
            <w:r w:rsidRPr="00E2654A">
              <w:rPr>
                <w:rFonts w:cstheme="minorHAnsi"/>
                <w:color w:val="FF0000"/>
              </w:rPr>
              <w:t>Title of Programme</w:t>
            </w:r>
            <w:r w:rsidR="001550C9" w:rsidRPr="00E2654A">
              <w:rPr>
                <w:rFonts w:cstheme="minorHAnsi"/>
                <w:color w:val="FF0000"/>
              </w:rPr>
              <w:t>(s)</w:t>
            </w:r>
            <w:r w:rsidRPr="00E2654A">
              <w:rPr>
                <w:rFonts w:cstheme="minorHAnsi"/>
                <w:color w:val="FF0000"/>
              </w:rPr>
              <w:t>:</w:t>
            </w:r>
          </w:p>
          <w:p w14:paraId="4F0CEEE0" w14:textId="77777777" w:rsidR="003A49A8" w:rsidRPr="00E2654A" w:rsidRDefault="003A49A8" w:rsidP="00C349E8">
            <w:pPr>
              <w:rPr>
                <w:rFonts w:cstheme="minorHAnsi"/>
                <w:color w:val="FF0000"/>
              </w:rPr>
            </w:pPr>
            <w:r w:rsidRPr="00E2654A">
              <w:rPr>
                <w:rFonts w:cstheme="minorHAnsi"/>
                <w:color w:val="FF0000"/>
              </w:rPr>
              <w:t>(incl. Award Type</w:t>
            </w:r>
            <w:r w:rsidR="00D8172B" w:rsidRPr="00E2654A">
              <w:rPr>
                <w:rFonts w:cstheme="minorHAnsi"/>
                <w:color w:val="FF0000"/>
              </w:rPr>
              <w:t xml:space="preserve"> and Specify Embedded Exit Awards</w:t>
            </w:r>
            <w:r w:rsidRPr="00E2654A">
              <w:rPr>
                <w:rFonts w:cstheme="minorHAnsi"/>
                <w:color w:val="FF0000"/>
              </w:rPr>
              <w:t>)</w:t>
            </w:r>
          </w:p>
        </w:tc>
        <w:tc>
          <w:tcPr>
            <w:tcW w:w="6208" w:type="dxa"/>
            <w:gridSpan w:val="2"/>
          </w:tcPr>
          <w:p w14:paraId="3E34E077" w14:textId="11DAA82A" w:rsidR="003A023E" w:rsidRPr="00E2654A" w:rsidRDefault="008E7D01" w:rsidP="00A770ED">
            <w:pPr>
              <w:rPr>
                <w:rFonts w:cstheme="minorHAnsi"/>
              </w:rPr>
            </w:pPr>
            <w:r w:rsidRPr="00E2654A">
              <w:rPr>
                <w:rFonts w:cstheme="minorHAnsi"/>
              </w:rPr>
              <w:t>Postgraduate Diploma in Science in Advanced Biopharmaceutical Science</w:t>
            </w:r>
          </w:p>
        </w:tc>
      </w:tr>
      <w:tr w:rsidR="003A49A8" w:rsidRPr="00E2654A" w14:paraId="00183BF0" w14:textId="77777777" w:rsidTr="470D481D">
        <w:tc>
          <w:tcPr>
            <w:tcW w:w="520" w:type="dxa"/>
          </w:tcPr>
          <w:p w14:paraId="03E7D928" w14:textId="77777777" w:rsidR="003A49A8" w:rsidRPr="00E2654A" w:rsidRDefault="00641A9D" w:rsidP="00564A57">
            <w:pPr>
              <w:rPr>
                <w:rFonts w:cstheme="minorHAnsi"/>
                <w:color w:val="FF0000"/>
              </w:rPr>
            </w:pPr>
            <w:r w:rsidRPr="00E2654A">
              <w:rPr>
                <w:rFonts w:cstheme="minorHAnsi"/>
                <w:color w:val="FF0000"/>
              </w:rPr>
              <w:t>2</w:t>
            </w:r>
            <w:r w:rsidR="003A49A8" w:rsidRPr="00E2654A">
              <w:rPr>
                <w:rFonts w:cstheme="minorHAnsi"/>
                <w:color w:val="FF0000"/>
              </w:rPr>
              <w:t>.</w:t>
            </w:r>
          </w:p>
        </w:tc>
        <w:tc>
          <w:tcPr>
            <w:tcW w:w="2353" w:type="dxa"/>
          </w:tcPr>
          <w:p w14:paraId="440EF84E" w14:textId="77777777" w:rsidR="005E0D30" w:rsidRPr="00E2654A" w:rsidRDefault="003A49A8" w:rsidP="00564A57">
            <w:pPr>
              <w:rPr>
                <w:rFonts w:cstheme="minorHAnsi"/>
                <w:color w:val="FF0000"/>
              </w:rPr>
            </w:pPr>
            <w:r w:rsidRPr="00E2654A">
              <w:rPr>
                <w:rFonts w:cstheme="minorHAnsi"/>
                <w:color w:val="FF0000"/>
              </w:rPr>
              <w:t>NFQ Level(s)</w:t>
            </w:r>
            <w:r w:rsidR="005E0D30" w:rsidRPr="00E2654A">
              <w:rPr>
                <w:rFonts w:cstheme="minorHAnsi"/>
                <w:color w:val="FF0000"/>
              </w:rPr>
              <w:t>/</w:t>
            </w:r>
          </w:p>
          <w:p w14:paraId="708277A5" w14:textId="15F71C8D" w:rsidR="003A49A8" w:rsidRPr="00E2654A" w:rsidRDefault="005E0D30" w:rsidP="00564A57">
            <w:pPr>
              <w:rPr>
                <w:rFonts w:cstheme="minorHAnsi"/>
                <w:color w:val="FF0000"/>
              </w:rPr>
            </w:pPr>
            <w:r w:rsidRPr="00E2654A">
              <w:rPr>
                <w:rFonts w:cstheme="minorHAnsi"/>
                <w:color w:val="FF0000"/>
              </w:rPr>
              <w:t>No. ECTS</w:t>
            </w:r>
            <w:r w:rsidR="003A49A8" w:rsidRPr="00E2654A">
              <w:rPr>
                <w:rFonts w:cstheme="minorHAnsi"/>
                <w:color w:val="FF0000"/>
              </w:rPr>
              <w:t>:</w:t>
            </w:r>
          </w:p>
        </w:tc>
        <w:tc>
          <w:tcPr>
            <w:tcW w:w="6208" w:type="dxa"/>
            <w:gridSpan w:val="2"/>
          </w:tcPr>
          <w:p w14:paraId="3D43037C" w14:textId="10925DA6" w:rsidR="003A49A8" w:rsidRPr="00E2654A" w:rsidRDefault="470D481D" w:rsidP="470D481D">
            <w:pPr>
              <w:rPr>
                <w:rFonts w:cstheme="minorHAnsi"/>
              </w:rPr>
            </w:pPr>
            <w:r w:rsidRPr="00E2654A">
              <w:rPr>
                <w:rFonts w:cstheme="minorHAnsi"/>
              </w:rPr>
              <w:t>9</w:t>
            </w:r>
          </w:p>
          <w:p w14:paraId="1053D17E" w14:textId="77777777" w:rsidR="003A023E" w:rsidRDefault="00BC5098" w:rsidP="00BC5098">
            <w:pPr>
              <w:rPr>
                <w:rFonts w:cstheme="minorHAnsi"/>
              </w:rPr>
            </w:pPr>
            <w:r w:rsidRPr="00E2654A">
              <w:rPr>
                <w:rFonts w:cstheme="minorHAnsi"/>
              </w:rPr>
              <w:t>60 ECTS</w:t>
            </w:r>
          </w:p>
          <w:p w14:paraId="5834E3E9" w14:textId="67B7C6D5" w:rsidR="001C6330" w:rsidRPr="00E2654A" w:rsidRDefault="001C6330" w:rsidP="00BC5098">
            <w:pPr>
              <w:rPr>
                <w:rFonts w:cstheme="minorHAnsi"/>
              </w:rPr>
            </w:pPr>
          </w:p>
        </w:tc>
      </w:tr>
      <w:tr w:rsidR="003A49A8" w:rsidRPr="00E2654A" w14:paraId="6B5BF79B" w14:textId="77777777" w:rsidTr="470D481D">
        <w:tc>
          <w:tcPr>
            <w:tcW w:w="520" w:type="dxa"/>
          </w:tcPr>
          <w:p w14:paraId="3CC014F1" w14:textId="77777777" w:rsidR="003A49A8" w:rsidRPr="00E2654A" w:rsidRDefault="003A49A8" w:rsidP="00564A57">
            <w:pPr>
              <w:rPr>
                <w:rFonts w:cstheme="minorHAnsi"/>
                <w:color w:val="FF0000"/>
              </w:rPr>
            </w:pPr>
            <w:r w:rsidRPr="00E2654A">
              <w:rPr>
                <w:rFonts w:cstheme="minorHAnsi"/>
                <w:color w:val="FF0000"/>
              </w:rPr>
              <w:t xml:space="preserve">3. </w:t>
            </w:r>
          </w:p>
        </w:tc>
        <w:tc>
          <w:tcPr>
            <w:tcW w:w="2353" w:type="dxa"/>
          </w:tcPr>
          <w:p w14:paraId="2FF04894" w14:textId="77777777" w:rsidR="003A49A8" w:rsidRPr="00E2654A" w:rsidRDefault="003A49A8" w:rsidP="00564A57">
            <w:pPr>
              <w:rPr>
                <w:rFonts w:cstheme="minorHAnsi"/>
                <w:color w:val="FF0000"/>
              </w:rPr>
            </w:pPr>
            <w:r w:rsidRPr="00E2654A">
              <w:rPr>
                <w:rFonts w:cstheme="minorHAnsi"/>
                <w:color w:val="FF0000"/>
              </w:rPr>
              <w:t>Duration:</w:t>
            </w:r>
          </w:p>
        </w:tc>
        <w:tc>
          <w:tcPr>
            <w:tcW w:w="6208" w:type="dxa"/>
            <w:gridSpan w:val="2"/>
          </w:tcPr>
          <w:p w14:paraId="611A0B13" w14:textId="590DC48F" w:rsidR="003A49A8" w:rsidRPr="00E2654A" w:rsidRDefault="00A770ED" w:rsidP="470D481D">
            <w:pPr>
              <w:rPr>
                <w:rFonts w:cstheme="minorHAnsi"/>
              </w:rPr>
            </w:pPr>
            <w:r w:rsidRPr="00E2654A">
              <w:rPr>
                <w:rFonts w:cstheme="minorHAnsi"/>
              </w:rPr>
              <w:t>1</w:t>
            </w:r>
            <w:r w:rsidR="470D481D" w:rsidRPr="00E2654A">
              <w:rPr>
                <w:rFonts w:cstheme="minorHAnsi"/>
              </w:rPr>
              <w:t xml:space="preserve"> Year</w:t>
            </w:r>
          </w:p>
          <w:p w14:paraId="301D33E0" w14:textId="70A0BA5A" w:rsidR="003A023E" w:rsidRPr="00E2654A" w:rsidRDefault="003A023E" w:rsidP="470D481D">
            <w:pPr>
              <w:rPr>
                <w:rFonts w:cstheme="minorHAnsi"/>
              </w:rPr>
            </w:pPr>
          </w:p>
        </w:tc>
      </w:tr>
      <w:tr w:rsidR="003A49A8" w:rsidRPr="00E2654A" w14:paraId="090294F4" w14:textId="77777777" w:rsidTr="470D481D">
        <w:tc>
          <w:tcPr>
            <w:tcW w:w="520" w:type="dxa"/>
          </w:tcPr>
          <w:p w14:paraId="4236F057" w14:textId="77777777" w:rsidR="003A49A8" w:rsidRPr="00E2654A" w:rsidRDefault="00641A9D" w:rsidP="00C349E8">
            <w:pPr>
              <w:rPr>
                <w:rFonts w:cstheme="minorHAnsi"/>
                <w:color w:val="FF0000"/>
              </w:rPr>
            </w:pPr>
            <w:r w:rsidRPr="00E2654A">
              <w:rPr>
                <w:rFonts w:cstheme="minorHAnsi"/>
                <w:color w:val="FF0000"/>
              </w:rPr>
              <w:t>4.</w:t>
            </w:r>
          </w:p>
        </w:tc>
        <w:tc>
          <w:tcPr>
            <w:tcW w:w="2353" w:type="dxa"/>
          </w:tcPr>
          <w:p w14:paraId="50AF1D56" w14:textId="77777777" w:rsidR="003A49A8" w:rsidRPr="00E2654A" w:rsidRDefault="003A49A8" w:rsidP="00C349E8">
            <w:pPr>
              <w:rPr>
                <w:rFonts w:cstheme="minorHAnsi"/>
                <w:color w:val="FF0000"/>
              </w:rPr>
            </w:pPr>
            <w:r w:rsidRPr="00E2654A">
              <w:rPr>
                <w:rFonts w:cstheme="minorHAnsi"/>
                <w:color w:val="FF0000"/>
              </w:rPr>
              <w:t>ISCED Code:</w:t>
            </w:r>
          </w:p>
        </w:tc>
        <w:tc>
          <w:tcPr>
            <w:tcW w:w="6208" w:type="dxa"/>
            <w:gridSpan w:val="2"/>
          </w:tcPr>
          <w:p w14:paraId="73DCF508" w14:textId="30F3C2DF" w:rsidR="003A49A8" w:rsidRPr="00E2654A" w:rsidRDefault="00BC5098" w:rsidP="470D481D">
            <w:pPr>
              <w:rPr>
                <w:rFonts w:cstheme="minorHAnsi"/>
              </w:rPr>
            </w:pPr>
            <w:r w:rsidRPr="00E2654A">
              <w:rPr>
                <w:rFonts w:cstheme="minorHAnsi"/>
              </w:rPr>
              <w:t>0914</w:t>
            </w:r>
          </w:p>
          <w:p w14:paraId="69053D03" w14:textId="3F27C5D3" w:rsidR="003A023E" w:rsidRPr="00E2654A" w:rsidRDefault="003A023E" w:rsidP="470D481D">
            <w:pPr>
              <w:rPr>
                <w:rFonts w:cstheme="minorHAnsi"/>
              </w:rPr>
            </w:pPr>
          </w:p>
        </w:tc>
      </w:tr>
      <w:tr w:rsidR="00C349E8" w:rsidRPr="00E2654A" w14:paraId="35A5A2C5" w14:textId="77777777" w:rsidTr="470D481D">
        <w:tc>
          <w:tcPr>
            <w:tcW w:w="520" w:type="dxa"/>
          </w:tcPr>
          <w:p w14:paraId="43190798" w14:textId="77777777" w:rsidR="00C349E8" w:rsidRPr="00E2654A" w:rsidRDefault="00641A9D" w:rsidP="00C349E8">
            <w:pPr>
              <w:rPr>
                <w:rFonts w:cstheme="minorHAnsi"/>
                <w:color w:val="FF0000"/>
              </w:rPr>
            </w:pPr>
            <w:r w:rsidRPr="00E2654A">
              <w:rPr>
                <w:rFonts w:cstheme="minorHAnsi"/>
                <w:color w:val="FF0000"/>
              </w:rPr>
              <w:t>5.</w:t>
            </w:r>
          </w:p>
        </w:tc>
        <w:tc>
          <w:tcPr>
            <w:tcW w:w="2353" w:type="dxa"/>
          </w:tcPr>
          <w:p w14:paraId="3245197A" w14:textId="77777777" w:rsidR="00C349E8" w:rsidRPr="00E2654A" w:rsidRDefault="00C349E8" w:rsidP="00C349E8">
            <w:pPr>
              <w:rPr>
                <w:rFonts w:cstheme="minorHAnsi"/>
                <w:color w:val="FF0000"/>
              </w:rPr>
            </w:pPr>
            <w:r w:rsidRPr="00E2654A">
              <w:rPr>
                <w:rFonts w:cstheme="minorHAnsi"/>
                <w:color w:val="FF0000"/>
              </w:rPr>
              <w:t>School / Centre:</w:t>
            </w:r>
          </w:p>
        </w:tc>
        <w:tc>
          <w:tcPr>
            <w:tcW w:w="6208" w:type="dxa"/>
            <w:gridSpan w:val="2"/>
          </w:tcPr>
          <w:p w14:paraId="704E1ABA" w14:textId="78A72C3F" w:rsidR="00C349E8" w:rsidRPr="00E2654A" w:rsidRDefault="00BC5098" w:rsidP="470D481D">
            <w:pPr>
              <w:rPr>
                <w:rFonts w:cstheme="minorHAnsi"/>
              </w:rPr>
            </w:pPr>
            <w:r w:rsidRPr="00E2654A">
              <w:rPr>
                <w:rFonts w:cstheme="minorHAnsi"/>
              </w:rPr>
              <w:t>School of Science and Computing</w:t>
            </w:r>
          </w:p>
          <w:p w14:paraId="1FEF2D32" w14:textId="7EB13BBF" w:rsidR="003A023E" w:rsidRPr="00E2654A" w:rsidRDefault="003A023E" w:rsidP="470D481D">
            <w:pPr>
              <w:rPr>
                <w:rFonts w:cstheme="minorHAnsi"/>
              </w:rPr>
            </w:pPr>
          </w:p>
        </w:tc>
      </w:tr>
      <w:tr w:rsidR="003A49A8" w:rsidRPr="00E2654A" w14:paraId="64115F67" w14:textId="77777777" w:rsidTr="470D481D">
        <w:tc>
          <w:tcPr>
            <w:tcW w:w="520" w:type="dxa"/>
          </w:tcPr>
          <w:p w14:paraId="2E621D9C" w14:textId="77777777" w:rsidR="003A49A8" w:rsidRPr="00E2654A" w:rsidRDefault="00641A9D" w:rsidP="00C349E8">
            <w:pPr>
              <w:rPr>
                <w:rFonts w:cstheme="minorHAnsi"/>
                <w:color w:val="FF0000"/>
              </w:rPr>
            </w:pPr>
            <w:r w:rsidRPr="00E2654A">
              <w:rPr>
                <w:rFonts w:cstheme="minorHAnsi"/>
                <w:color w:val="FF0000"/>
              </w:rPr>
              <w:t>6.</w:t>
            </w:r>
          </w:p>
        </w:tc>
        <w:tc>
          <w:tcPr>
            <w:tcW w:w="2353" w:type="dxa"/>
          </w:tcPr>
          <w:p w14:paraId="0516AC70" w14:textId="77777777" w:rsidR="003A49A8" w:rsidRPr="00E2654A" w:rsidRDefault="003A49A8" w:rsidP="00C349E8">
            <w:pPr>
              <w:rPr>
                <w:rFonts w:cstheme="minorHAnsi"/>
                <w:color w:val="FF0000"/>
              </w:rPr>
            </w:pPr>
            <w:r w:rsidRPr="00E2654A">
              <w:rPr>
                <w:rFonts w:cstheme="minorHAnsi"/>
                <w:color w:val="FF0000"/>
              </w:rPr>
              <w:t>Department:</w:t>
            </w:r>
          </w:p>
        </w:tc>
        <w:tc>
          <w:tcPr>
            <w:tcW w:w="6208" w:type="dxa"/>
            <w:gridSpan w:val="2"/>
          </w:tcPr>
          <w:p w14:paraId="48C3B7AC" w14:textId="77777777" w:rsidR="003A023E" w:rsidRDefault="00BC5098" w:rsidP="00A770ED">
            <w:pPr>
              <w:rPr>
                <w:rFonts w:cstheme="minorHAnsi"/>
              </w:rPr>
            </w:pPr>
            <w:r w:rsidRPr="00E2654A">
              <w:rPr>
                <w:rFonts w:cstheme="minorHAnsi"/>
              </w:rPr>
              <w:t>Department of Medical and Biopharmaceutical Science</w:t>
            </w:r>
          </w:p>
          <w:p w14:paraId="51E1F218" w14:textId="7A9888C4" w:rsidR="001C6330" w:rsidRPr="00E2654A" w:rsidRDefault="001C6330" w:rsidP="00A770ED">
            <w:pPr>
              <w:rPr>
                <w:rFonts w:cstheme="minorHAnsi"/>
              </w:rPr>
            </w:pPr>
          </w:p>
        </w:tc>
      </w:tr>
      <w:tr w:rsidR="00530D72" w:rsidRPr="00E2654A" w14:paraId="2CD16D6A" w14:textId="77777777" w:rsidTr="000A4A2A">
        <w:trPr>
          <w:trHeight w:val="273"/>
        </w:trPr>
        <w:tc>
          <w:tcPr>
            <w:tcW w:w="520" w:type="dxa"/>
          </w:tcPr>
          <w:p w14:paraId="0985E6B6" w14:textId="77777777" w:rsidR="00530D72" w:rsidRPr="00E2654A" w:rsidRDefault="00530D72" w:rsidP="00C349E8">
            <w:pPr>
              <w:rPr>
                <w:rFonts w:cstheme="minorHAnsi"/>
                <w:color w:val="FF0000"/>
              </w:rPr>
            </w:pPr>
            <w:r w:rsidRPr="00E2654A">
              <w:rPr>
                <w:rFonts w:cstheme="minorHAnsi"/>
                <w:color w:val="FF0000"/>
              </w:rPr>
              <w:t>7.</w:t>
            </w:r>
          </w:p>
        </w:tc>
        <w:tc>
          <w:tcPr>
            <w:tcW w:w="2353" w:type="dxa"/>
          </w:tcPr>
          <w:p w14:paraId="70F083FE" w14:textId="77777777" w:rsidR="00530D72" w:rsidRPr="00E2654A" w:rsidRDefault="00530D72" w:rsidP="00C349E8">
            <w:pPr>
              <w:rPr>
                <w:rFonts w:cstheme="minorHAnsi"/>
                <w:color w:val="FF0000"/>
              </w:rPr>
            </w:pPr>
            <w:r w:rsidRPr="00E2654A">
              <w:rPr>
                <w:rFonts w:cstheme="minorHAnsi"/>
                <w:color w:val="FF0000"/>
              </w:rPr>
              <w:t>Type of Review:</w:t>
            </w:r>
          </w:p>
        </w:tc>
        <w:tc>
          <w:tcPr>
            <w:tcW w:w="6208" w:type="dxa"/>
            <w:gridSpan w:val="2"/>
          </w:tcPr>
          <w:p w14:paraId="21AADCB8" w14:textId="7F693DA3" w:rsidR="00530D72" w:rsidRPr="00E2654A" w:rsidRDefault="470D481D" w:rsidP="470D481D">
            <w:pPr>
              <w:rPr>
                <w:rFonts w:cstheme="minorHAnsi"/>
              </w:rPr>
            </w:pPr>
            <w:r w:rsidRPr="00E2654A">
              <w:rPr>
                <w:rFonts w:cstheme="minorHAnsi"/>
              </w:rPr>
              <w:t xml:space="preserve">New Programme   </w:t>
            </w:r>
          </w:p>
          <w:p w14:paraId="4459319F" w14:textId="2222873C" w:rsidR="003A023E" w:rsidRPr="00E2654A" w:rsidRDefault="003A023E" w:rsidP="470D481D">
            <w:pPr>
              <w:rPr>
                <w:rFonts w:cstheme="minorHAnsi"/>
              </w:rPr>
            </w:pPr>
          </w:p>
        </w:tc>
      </w:tr>
      <w:tr w:rsidR="00C349E8" w:rsidRPr="00E2654A" w14:paraId="22A032DF" w14:textId="77777777" w:rsidTr="470D481D">
        <w:tc>
          <w:tcPr>
            <w:tcW w:w="520" w:type="dxa"/>
          </w:tcPr>
          <w:p w14:paraId="2F5E17A0" w14:textId="77777777" w:rsidR="00C349E8" w:rsidRPr="00E2654A" w:rsidRDefault="00641A9D" w:rsidP="00C349E8">
            <w:pPr>
              <w:rPr>
                <w:rFonts w:cstheme="minorHAnsi"/>
                <w:color w:val="FF0000"/>
              </w:rPr>
            </w:pPr>
            <w:r w:rsidRPr="00E2654A">
              <w:rPr>
                <w:rFonts w:cstheme="minorHAnsi"/>
                <w:color w:val="FF0000"/>
              </w:rPr>
              <w:t>8</w:t>
            </w:r>
            <w:r w:rsidR="00BC578A" w:rsidRPr="00E2654A">
              <w:rPr>
                <w:rFonts w:cstheme="minorHAnsi"/>
                <w:color w:val="FF0000"/>
              </w:rPr>
              <w:t>.</w:t>
            </w:r>
          </w:p>
        </w:tc>
        <w:tc>
          <w:tcPr>
            <w:tcW w:w="2353" w:type="dxa"/>
          </w:tcPr>
          <w:p w14:paraId="47BD2CDE" w14:textId="77777777" w:rsidR="00C349E8" w:rsidRPr="00E2654A" w:rsidRDefault="00C349E8" w:rsidP="00C349E8">
            <w:pPr>
              <w:rPr>
                <w:rFonts w:cstheme="minorHAnsi"/>
                <w:color w:val="FF0000"/>
              </w:rPr>
            </w:pPr>
            <w:r w:rsidRPr="00E2654A">
              <w:rPr>
                <w:rFonts w:cstheme="minorHAnsi"/>
                <w:color w:val="FF0000"/>
              </w:rPr>
              <w:t>Date of Review:</w:t>
            </w:r>
          </w:p>
        </w:tc>
        <w:tc>
          <w:tcPr>
            <w:tcW w:w="6208" w:type="dxa"/>
            <w:gridSpan w:val="2"/>
          </w:tcPr>
          <w:p w14:paraId="5A9BE85C" w14:textId="77777777" w:rsidR="003A023E" w:rsidRDefault="00BC5098" w:rsidP="00A770ED">
            <w:pPr>
              <w:rPr>
                <w:rFonts w:cstheme="minorHAnsi"/>
              </w:rPr>
            </w:pPr>
            <w:r w:rsidRPr="00E2654A">
              <w:rPr>
                <w:rFonts w:cstheme="minorHAnsi"/>
              </w:rPr>
              <w:t>19</w:t>
            </w:r>
            <w:r w:rsidRPr="00E2654A">
              <w:rPr>
                <w:rFonts w:cstheme="minorHAnsi"/>
                <w:vertAlign w:val="superscript"/>
              </w:rPr>
              <w:t>th</w:t>
            </w:r>
            <w:r w:rsidRPr="00E2654A">
              <w:rPr>
                <w:rFonts w:cstheme="minorHAnsi"/>
              </w:rPr>
              <w:t xml:space="preserve"> October 2020</w:t>
            </w:r>
          </w:p>
          <w:p w14:paraId="3F6F0F06" w14:textId="176A0DB0" w:rsidR="001C6330" w:rsidRPr="00E2654A" w:rsidRDefault="001C6330" w:rsidP="00A770ED">
            <w:pPr>
              <w:rPr>
                <w:rFonts w:cstheme="minorHAnsi"/>
              </w:rPr>
            </w:pPr>
          </w:p>
        </w:tc>
      </w:tr>
      <w:tr w:rsidR="00530D72" w:rsidRPr="00E2654A" w14:paraId="07380C10" w14:textId="77777777" w:rsidTr="470D481D">
        <w:tc>
          <w:tcPr>
            <w:tcW w:w="520" w:type="dxa"/>
          </w:tcPr>
          <w:p w14:paraId="76CC58BE" w14:textId="77777777" w:rsidR="00530D72" w:rsidRPr="00E2654A" w:rsidRDefault="00530D72" w:rsidP="00C349E8">
            <w:pPr>
              <w:rPr>
                <w:rFonts w:cstheme="minorHAnsi"/>
                <w:color w:val="FF0000"/>
              </w:rPr>
            </w:pPr>
            <w:r w:rsidRPr="00E2654A">
              <w:rPr>
                <w:rFonts w:cstheme="minorHAnsi"/>
                <w:color w:val="FF0000"/>
              </w:rPr>
              <w:t>9.</w:t>
            </w:r>
          </w:p>
        </w:tc>
        <w:tc>
          <w:tcPr>
            <w:tcW w:w="2353" w:type="dxa"/>
          </w:tcPr>
          <w:p w14:paraId="18757905" w14:textId="77777777" w:rsidR="00530D72" w:rsidRPr="00E2654A" w:rsidRDefault="00530D72" w:rsidP="00C349E8">
            <w:pPr>
              <w:rPr>
                <w:rFonts w:cstheme="minorHAnsi"/>
                <w:color w:val="FF0000"/>
              </w:rPr>
            </w:pPr>
            <w:r w:rsidRPr="00E2654A">
              <w:rPr>
                <w:rFonts w:cstheme="minorHAnsi"/>
                <w:color w:val="FF0000"/>
              </w:rPr>
              <w:t>Delivery Mode:</w:t>
            </w:r>
          </w:p>
        </w:tc>
        <w:tc>
          <w:tcPr>
            <w:tcW w:w="6208" w:type="dxa"/>
            <w:gridSpan w:val="2"/>
          </w:tcPr>
          <w:p w14:paraId="41C09751" w14:textId="77777777" w:rsidR="003A023E" w:rsidRDefault="00BC5098" w:rsidP="00A770ED">
            <w:pPr>
              <w:rPr>
                <w:rFonts w:cstheme="minorHAnsi"/>
              </w:rPr>
            </w:pPr>
            <w:r w:rsidRPr="00E2654A">
              <w:rPr>
                <w:rFonts w:cstheme="minorHAnsi"/>
              </w:rPr>
              <w:t>Full</w:t>
            </w:r>
            <w:r w:rsidR="00DA76CB" w:rsidRPr="00E2654A">
              <w:rPr>
                <w:rFonts w:cstheme="minorHAnsi"/>
              </w:rPr>
              <w:t>-time, Blended</w:t>
            </w:r>
          </w:p>
          <w:p w14:paraId="55D92A49" w14:textId="2A2DFFF1" w:rsidR="001C6330" w:rsidRPr="00E2654A" w:rsidRDefault="001C6330" w:rsidP="00A770ED">
            <w:pPr>
              <w:rPr>
                <w:rFonts w:cstheme="minorHAnsi"/>
                <w:color w:val="FF0000"/>
              </w:rPr>
            </w:pPr>
          </w:p>
        </w:tc>
      </w:tr>
      <w:tr w:rsidR="00C349E8" w:rsidRPr="00E2654A" w14:paraId="51409317" w14:textId="77777777" w:rsidTr="470D481D">
        <w:tc>
          <w:tcPr>
            <w:tcW w:w="520" w:type="dxa"/>
          </w:tcPr>
          <w:p w14:paraId="5641EA8D" w14:textId="72F272BF" w:rsidR="00C349E8" w:rsidRPr="00E2654A" w:rsidRDefault="00641A9D" w:rsidP="00C349E8">
            <w:pPr>
              <w:rPr>
                <w:rFonts w:cstheme="minorHAnsi"/>
                <w:color w:val="FF0000"/>
              </w:rPr>
            </w:pPr>
            <w:r w:rsidRPr="00E2654A">
              <w:rPr>
                <w:rFonts w:cstheme="minorHAnsi"/>
                <w:color w:val="FF0000"/>
              </w:rPr>
              <w:t>1</w:t>
            </w:r>
            <w:r w:rsidR="004D40CB" w:rsidRPr="00E2654A">
              <w:rPr>
                <w:rFonts w:cstheme="minorHAnsi"/>
                <w:color w:val="FF0000"/>
              </w:rPr>
              <w:t>0</w:t>
            </w:r>
            <w:r w:rsidRPr="00E2654A">
              <w:rPr>
                <w:rFonts w:cstheme="minorHAnsi"/>
                <w:color w:val="FF0000"/>
              </w:rPr>
              <w:t>.</w:t>
            </w:r>
          </w:p>
        </w:tc>
        <w:tc>
          <w:tcPr>
            <w:tcW w:w="2353" w:type="dxa"/>
          </w:tcPr>
          <w:p w14:paraId="39CFFC9D" w14:textId="77777777" w:rsidR="00C349E8" w:rsidRPr="00E2654A" w:rsidRDefault="00C349E8" w:rsidP="00C349E8">
            <w:pPr>
              <w:rPr>
                <w:rFonts w:cstheme="minorHAnsi"/>
                <w:color w:val="FF0000"/>
              </w:rPr>
            </w:pPr>
            <w:r w:rsidRPr="00E2654A">
              <w:rPr>
                <w:rFonts w:cstheme="minorHAnsi"/>
                <w:color w:val="FF0000"/>
              </w:rPr>
              <w:t>Panel Members:</w:t>
            </w:r>
          </w:p>
        </w:tc>
        <w:tc>
          <w:tcPr>
            <w:tcW w:w="6208" w:type="dxa"/>
            <w:gridSpan w:val="2"/>
          </w:tcPr>
          <w:p w14:paraId="4E668289" w14:textId="77777777" w:rsidR="00C574BE" w:rsidRPr="00E2654A" w:rsidRDefault="00C574BE" w:rsidP="470D481D">
            <w:pPr>
              <w:rPr>
                <w:rFonts w:cstheme="minorHAnsi"/>
              </w:rPr>
            </w:pPr>
            <w:r w:rsidRPr="00E2654A">
              <w:rPr>
                <w:rFonts w:cstheme="minorHAnsi"/>
              </w:rPr>
              <w:t>Dr Joe McGarry, Educational Consultant</w:t>
            </w:r>
          </w:p>
          <w:p w14:paraId="39BA5F9E" w14:textId="77777777" w:rsidR="006B3D55" w:rsidRPr="00E2654A" w:rsidRDefault="006B3D55" w:rsidP="470D481D">
            <w:pPr>
              <w:rPr>
                <w:rFonts w:cstheme="minorHAnsi"/>
              </w:rPr>
            </w:pPr>
            <w:r w:rsidRPr="00E2654A">
              <w:rPr>
                <w:rFonts w:cstheme="minorHAnsi"/>
              </w:rPr>
              <w:t>Dr Edel Healy, Head of School of Health Science, Dundalk Institute of Technology</w:t>
            </w:r>
          </w:p>
          <w:p w14:paraId="4234364F" w14:textId="77777777" w:rsidR="006B3D55" w:rsidRPr="00E2654A" w:rsidRDefault="006B3D55" w:rsidP="470D481D">
            <w:pPr>
              <w:rPr>
                <w:rFonts w:cstheme="minorHAnsi"/>
              </w:rPr>
            </w:pPr>
            <w:r w:rsidRPr="00E2654A">
              <w:rPr>
                <w:rFonts w:cstheme="minorHAnsi"/>
              </w:rPr>
              <w:t>Dr Joanne Gallagher, Head of Department of Science, Letterkenny Institute of Technology</w:t>
            </w:r>
          </w:p>
          <w:p w14:paraId="40AE30D8" w14:textId="51FC4680" w:rsidR="00DA270B" w:rsidRPr="00E2654A" w:rsidRDefault="006B3D55" w:rsidP="470D481D">
            <w:pPr>
              <w:rPr>
                <w:rFonts w:cstheme="minorHAnsi"/>
              </w:rPr>
            </w:pPr>
            <w:r w:rsidRPr="00E2654A">
              <w:rPr>
                <w:rFonts w:cstheme="minorHAnsi"/>
              </w:rPr>
              <w:t>Dr Gregory Wil</w:t>
            </w:r>
            <w:r w:rsidR="00C96485">
              <w:rPr>
                <w:rFonts w:cstheme="minorHAnsi"/>
              </w:rPr>
              <w:t>l</w:t>
            </w:r>
            <w:r w:rsidRPr="00E2654A">
              <w:rPr>
                <w:rFonts w:cstheme="minorHAnsi"/>
              </w:rPr>
              <w:t xml:space="preserve">iams, </w:t>
            </w:r>
            <w:r w:rsidR="00C946D7" w:rsidRPr="00E2654A">
              <w:rPr>
                <w:rFonts w:cstheme="minorHAnsi"/>
              </w:rPr>
              <w:t xml:space="preserve">Senior Research Scientist at </w:t>
            </w:r>
            <w:r w:rsidR="00DA76CB" w:rsidRPr="00E2654A">
              <w:rPr>
                <w:rFonts w:cstheme="minorHAnsi"/>
              </w:rPr>
              <w:t>Albany Molecular Research Inc (AMRI)</w:t>
            </w:r>
            <w:r w:rsidR="00C352D3" w:rsidRPr="00E2654A">
              <w:rPr>
                <w:rFonts w:cstheme="minorHAnsi"/>
              </w:rPr>
              <w:t>, New York State</w:t>
            </w:r>
          </w:p>
          <w:p w14:paraId="74EF4DF5" w14:textId="7594AB4D" w:rsidR="00C349E8" w:rsidRPr="00E2654A" w:rsidRDefault="470D481D" w:rsidP="470D481D">
            <w:pPr>
              <w:rPr>
                <w:rFonts w:cstheme="minorHAnsi"/>
              </w:rPr>
            </w:pPr>
            <w:r w:rsidRPr="00E2654A">
              <w:rPr>
                <w:rFonts w:cstheme="minorHAnsi"/>
              </w:rPr>
              <w:t>Ms Carmel Brennan, Assistant Registrar (Quality) (Secretary)</w:t>
            </w:r>
          </w:p>
          <w:p w14:paraId="7B1AE142" w14:textId="1D3AD44D" w:rsidR="003A023E" w:rsidRPr="00E2654A" w:rsidRDefault="003A023E" w:rsidP="470D481D">
            <w:pPr>
              <w:rPr>
                <w:rFonts w:cstheme="minorHAnsi"/>
              </w:rPr>
            </w:pPr>
          </w:p>
        </w:tc>
      </w:tr>
      <w:tr w:rsidR="00C349E8" w:rsidRPr="00E2654A" w14:paraId="28DF8E16" w14:textId="77777777" w:rsidTr="470D481D">
        <w:tc>
          <w:tcPr>
            <w:tcW w:w="520" w:type="dxa"/>
          </w:tcPr>
          <w:p w14:paraId="3557CBC6" w14:textId="72E33D4A" w:rsidR="00C349E8" w:rsidRPr="00E2654A" w:rsidRDefault="00641A9D" w:rsidP="00C349E8">
            <w:pPr>
              <w:rPr>
                <w:rFonts w:cstheme="minorHAnsi"/>
                <w:color w:val="FF0000"/>
              </w:rPr>
            </w:pPr>
            <w:r w:rsidRPr="00E2654A">
              <w:rPr>
                <w:rFonts w:cstheme="minorHAnsi"/>
                <w:color w:val="FF0000"/>
              </w:rPr>
              <w:t>1</w:t>
            </w:r>
            <w:r w:rsidR="004D40CB" w:rsidRPr="00E2654A">
              <w:rPr>
                <w:rFonts w:cstheme="minorHAnsi"/>
                <w:color w:val="FF0000"/>
              </w:rPr>
              <w:t>1</w:t>
            </w:r>
            <w:r w:rsidRPr="00E2654A">
              <w:rPr>
                <w:rFonts w:cstheme="minorHAnsi"/>
                <w:color w:val="FF0000"/>
              </w:rPr>
              <w:t>.</w:t>
            </w:r>
          </w:p>
        </w:tc>
        <w:tc>
          <w:tcPr>
            <w:tcW w:w="2353" w:type="dxa"/>
          </w:tcPr>
          <w:p w14:paraId="04312C6C" w14:textId="77777777" w:rsidR="00C349E8" w:rsidRPr="00E2654A" w:rsidRDefault="00C349E8" w:rsidP="00C349E8">
            <w:pPr>
              <w:rPr>
                <w:rFonts w:cstheme="minorHAnsi"/>
                <w:color w:val="FF0000"/>
              </w:rPr>
            </w:pPr>
            <w:r w:rsidRPr="00E2654A">
              <w:rPr>
                <w:rFonts w:cstheme="minorHAnsi"/>
                <w:color w:val="FF0000"/>
              </w:rPr>
              <w:t>Proposing Staff:</w:t>
            </w:r>
          </w:p>
        </w:tc>
        <w:tc>
          <w:tcPr>
            <w:tcW w:w="6208" w:type="dxa"/>
            <w:gridSpan w:val="2"/>
          </w:tcPr>
          <w:p w14:paraId="4C10EB19" w14:textId="3241E185" w:rsidR="003A023E" w:rsidRPr="00E2654A" w:rsidRDefault="00A35CE0" w:rsidP="00C349E8">
            <w:pPr>
              <w:rPr>
                <w:rFonts w:cstheme="minorHAnsi"/>
              </w:rPr>
            </w:pPr>
            <w:r w:rsidRPr="00E2654A">
              <w:rPr>
                <w:rFonts w:cstheme="minorHAnsi"/>
              </w:rPr>
              <w:t>Dr Des Foley</w:t>
            </w:r>
          </w:p>
          <w:p w14:paraId="247575DF" w14:textId="1750589A" w:rsidR="00A35CE0" w:rsidRPr="00E2654A" w:rsidRDefault="00A35CE0" w:rsidP="00C349E8">
            <w:pPr>
              <w:rPr>
                <w:rFonts w:cstheme="minorHAnsi"/>
              </w:rPr>
            </w:pPr>
            <w:r w:rsidRPr="00E2654A">
              <w:rPr>
                <w:rFonts w:cstheme="minorHAnsi"/>
              </w:rPr>
              <w:t>Dr Eugene McCarthy</w:t>
            </w:r>
          </w:p>
          <w:p w14:paraId="0063CD5D" w14:textId="48CD02A3" w:rsidR="00A35CE0" w:rsidRPr="00E2654A" w:rsidRDefault="00A35CE0" w:rsidP="00C349E8">
            <w:pPr>
              <w:rPr>
                <w:rFonts w:cstheme="minorHAnsi"/>
              </w:rPr>
            </w:pPr>
            <w:r w:rsidRPr="00E2654A">
              <w:rPr>
                <w:rFonts w:cstheme="minorHAnsi"/>
              </w:rPr>
              <w:t>Dr Mary McMahon</w:t>
            </w:r>
          </w:p>
          <w:p w14:paraId="7BEAF7FC" w14:textId="673A159B" w:rsidR="00A35CE0" w:rsidRPr="00E2654A" w:rsidRDefault="00A35CE0" w:rsidP="00C349E8">
            <w:pPr>
              <w:rPr>
                <w:rFonts w:cstheme="minorHAnsi"/>
              </w:rPr>
            </w:pPr>
            <w:r w:rsidRPr="00E2654A">
              <w:rPr>
                <w:rFonts w:cstheme="minorHAnsi"/>
              </w:rPr>
              <w:t>Dr Karen Finn</w:t>
            </w:r>
          </w:p>
          <w:p w14:paraId="3A5BC7BB" w14:textId="5747AA48" w:rsidR="00A35CE0" w:rsidRPr="00E2654A" w:rsidRDefault="00A35CE0" w:rsidP="00C349E8">
            <w:pPr>
              <w:rPr>
                <w:rFonts w:cstheme="minorHAnsi"/>
              </w:rPr>
            </w:pPr>
            <w:r w:rsidRPr="00E2654A">
              <w:rPr>
                <w:rFonts w:cstheme="minorHAnsi"/>
              </w:rPr>
              <w:t>Dr Olga Lyashevska</w:t>
            </w:r>
          </w:p>
          <w:p w14:paraId="735C6265" w14:textId="5F41A8F0" w:rsidR="00A35CE0" w:rsidRPr="00E2654A" w:rsidRDefault="00A35CE0" w:rsidP="00C349E8">
            <w:pPr>
              <w:rPr>
                <w:rFonts w:cstheme="minorHAnsi"/>
              </w:rPr>
            </w:pPr>
            <w:r w:rsidRPr="00E2654A">
              <w:rPr>
                <w:rFonts w:cstheme="minorHAnsi"/>
              </w:rPr>
              <w:t>Dr Orla Slattery</w:t>
            </w:r>
          </w:p>
          <w:p w14:paraId="74FAD654" w14:textId="579338D1" w:rsidR="00A35CE0" w:rsidRPr="00E2654A" w:rsidRDefault="00A35CE0" w:rsidP="00C349E8">
            <w:pPr>
              <w:rPr>
                <w:rFonts w:cstheme="minorHAnsi"/>
              </w:rPr>
            </w:pPr>
            <w:r w:rsidRPr="00E2654A">
              <w:rPr>
                <w:rFonts w:cstheme="minorHAnsi"/>
              </w:rPr>
              <w:t>Ms Rita Woodings</w:t>
            </w:r>
          </w:p>
          <w:p w14:paraId="45F79021" w14:textId="6A7893EE" w:rsidR="00A35CE0" w:rsidRPr="00E2654A" w:rsidRDefault="00A35CE0" w:rsidP="00C349E8">
            <w:pPr>
              <w:rPr>
                <w:rFonts w:cstheme="minorHAnsi"/>
              </w:rPr>
            </w:pPr>
            <w:r w:rsidRPr="00E2654A">
              <w:rPr>
                <w:rFonts w:cstheme="minorHAnsi"/>
              </w:rPr>
              <w:t>Dr Teresa Hanley</w:t>
            </w:r>
          </w:p>
          <w:p w14:paraId="2ED0120A" w14:textId="2D2EE34E" w:rsidR="00A35CE0" w:rsidRPr="00E2654A" w:rsidRDefault="00A35CE0" w:rsidP="00C349E8">
            <w:pPr>
              <w:rPr>
                <w:rFonts w:cstheme="minorHAnsi"/>
              </w:rPr>
            </w:pPr>
            <w:r w:rsidRPr="00E2654A">
              <w:rPr>
                <w:rFonts w:cstheme="minorHAnsi"/>
              </w:rPr>
              <w:t>Dr Teresa Kenirons</w:t>
            </w:r>
          </w:p>
          <w:p w14:paraId="7AD2ECCB" w14:textId="61CBFAED" w:rsidR="00A35CE0" w:rsidRPr="00E2654A" w:rsidRDefault="00A35CE0" w:rsidP="00C349E8">
            <w:pPr>
              <w:rPr>
                <w:rFonts w:cstheme="minorHAnsi"/>
              </w:rPr>
            </w:pPr>
            <w:r w:rsidRPr="00E2654A">
              <w:rPr>
                <w:rFonts w:cstheme="minorHAnsi"/>
              </w:rPr>
              <w:t>Dr Trish O’Connell</w:t>
            </w:r>
          </w:p>
          <w:p w14:paraId="72470DA3" w14:textId="515F48B8" w:rsidR="003A023E" w:rsidRPr="00E2654A" w:rsidRDefault="00A35CE0" w:rsidP="00C349E8">
            <w:pPr>
              <w:rPr>
                <w:rFonts w:cstheme="minorHAnsi"/>
              </w:rPr>
            </w:pPr>
            <w:r w:rsidRPr="00E2654A">
              <w:rPr>
                <w:rFonts w:cstheme="minorHAnsi"/>
              </w:rPr>
              <w:t>Dr Ian O’Connor</w:t>
            </w:r>
          </w:p>
          <w:p w14:paraId="6D81D544" w14:textId="4017F60C" w:rsidR="003A023E" w:rsidRPr="00E2654A" w:rsidRDefault="003A023E" w:rsidP="00C349E8">
            <w:pPr>
              <w:rPr>
                <w:rFonts w:cstheme="minorHAnsi"/>
              </w:rPr>
            </w:pPr>
          </w:p>
        </w:tc>
      </w:tr>
      <w:tr w:rsidR="00C349E8" w:rsidRPr="00E2654A" w14:paraId="1183DD4A" w14:textId="77777777" w:rsidTr="470D481D">
        <w:tc>
          <w:tcPr>
            <w:tcW w:w="520" w:type="dxa"/>
          </w:tcPr>
          <w:p w14:paraId="235AA98D" w14:textId="011604AC" w:rsidR="00C349E8" w:rsidRPr="00E2654A" w:rsidRDefault="00641A9D" w:rsidP="00C349E8">
            <w:pPr>
              <w:rPr>
                <w:rFonts w:cstheme="minorHAnsi"/>
                <w:color w:val="FF0000"/>
              </w:rPr>
            </w:pPr>
            <w:r w:rsidRPr="00E2654A">
              <w:rPr>
                <w:rFonts w:cstheme="minorHAnsi"/>
                <w:color w:val="FF0000"/>
              </w:rPr>
              <w:t>1</w:t>
            </w:r>
            <w:r w:rsidR="004D40CB" w:rsidRPr="00E2654A">
              <w:rPr>
                <w:rFonts w:cstheme="minorHAnsi"/>
                <w:color w:val="FF0000"/>
              </w:rPr>
              <w:t>2</w:t>
            </w:r>
            <w:r w:rsidRPr="00E2654A">
              <w:rPr>
                <w:rFonts w:cstheme="minorHAnsi"/>
                <w:color w:val="FF0000"/>
              </w:rPr>
              <w:t>.</w:t>
            </w:r>
          </w:p>
        </w:tc>
        <w:tc>
          <w:tcPr>
            <w:tcW w:w="2353" w:type="dxa"/>
          </w:tcPr>
          <w:p w14:paraId="68274B9B" w14:textId="77777777" w:rsidR="00C349E8" w:rsidRPr="00E2654A" w:rsidRDefault="004D1860" w:rsidP="00C349E8">
            <w:pPr>
              <w:rPr>
                <w:rFonts w:cstheme="minorHAnsi"/>
                <w:color w:val="FF0000"/>
              </w:rPr>
            </w:pPr>
            <w:r w:rsidRPr="00E2654A">
              <w:rPr>
                <w:rFonts w:cstheme="minorHAnsi"/>
                <w:color w:val="FF0000"/>
              </w:rPr>
              <w:t>Programme Rationale:</w:t>
            </w:r>
          </w:p>
        </w:tc>
        <w:tc>
          <w:tcPr>
            <w:tcW w:w="6208" w:type="dxa"/>
            <w:gridSpan w:val="2"/>
          </w:tcPr>
          <w:p w14:paraId="5C4D0503" w14:textId="77777777" w:rsidR="008B41FC" w:rsidRPr="00E2654A" w:rsidRDefault="009A1190" w:rsidP="009A1190">
            <w:pPr>
              <w:rPr>
                <w:rFonts w:eastAsia="Times New Roman" w:cstheme="minorHAnsi"/>
                <w:lang w:eastAsia="en-IE"/>
              </w:rPr>
            </w:pPr>
            <w:r w:rsidRPr="009A1190">
              <w:rPr>
                <w:rFonts w:eastAsia="Times New Roman" w:cstheme="minorHAnsi"/>
                <w:lang w:eastAsia="en-IE"/>
              </w:rPr>
              <w:t xml:space="preserve">In Ireland, the Biopharma industry is of significant economic importance. The Biopharma industry has made a capital investment of approximately $10 billion in new facilities in Ireland, most of which has come in the last 10 years. This represents close to the biggest wave of investment in new BioTech facilities </w:t>
            </w:r>
            <w:r w:rsidRPr="009A1190">
              <w:rPr>
                <w:rFonts w:eastAsia="Times New Roman" w:cstheme="minorHAnsi"/>
                <w:lang w:eastAsia="en-IE"/>
              </w:rPr>
              <w:lastRenderedPageBreak/>
              <w:t xml:space="preserve">anywhere in the world. In 2015, the Biopharma industry exported products to the value of €30.2bn, €6bn in imports and contributed €1.7bn in payroll. Ten of the top ten global pharmaceutical companies are in located Ireland. The Biopharma industry is regionally based, with main operations located in the South-West, Dublin, Mid-East, and West regions. The Western Region has a globally recognized cluster of biopharma life science indigenous and multinational companies including Allergan, Regeneron and Abbvie. </w:t>
            </w:r>
          </w:p>
          <w:p w14:paraId="7C485929" w14:textId="77777777" w:rsidR="008B41FC" w:rsidRPr="00E2654A" w:rsidRDefault="008B41FC" w:rsidP="009A1190">
            <w:pPr>
              <w:rPr>
                <w:rFonts w:eastAsia="Times New Roman" w:cstheme="minorHAnsi"/>
                <w:lang w:eastAsia="en-IE"/>
              </w:rPr>
            </w:pPr>
          </w:p>
          <w:p w14:paraId="2AF24644" w14:textId="77777777" w:rsidR="008B41FC" w:rsidRPr="00E2654A" w:rsidRDefault="009A1190" w:rsidP="009A1190">
            <w:pPr>
              <w:rPr>
                <w:rFonts w:eastAsia="Times New Roman" w:cstheme="minorHAnsi"/>
                <w:lang w:eastAsia="en-IE"/>
              </w:rPr>
            </w:pPr>
            <w:r w:rsidRPr="009A1190">
              <w:rPr>
                <w:rFonts w:eastAsia="Times New Roman" w:cstheme="minorHAnsi"/>
                <w:lang w:eastAsia="en-IE"/>
              </w:rPr>
              <w:t xml:space="preserve">In the most recent Future Skills Needs of the Biopharma Industry in Ireland report, an estimated 28,200 people were engaged in the Biopharma industry in Ireland in 2015. The report projected that total anticipated employment in the Biopharma industry would reach 33,200 in 2020. In assessing future skills demand, this report anticipated that Biologics manufacturing employment would grow from 6,700 in 2015 to 11,700 by 2020, whilst Pharmaceutical and related services employment would remain stable at 21,500. </w:t>
            </w:r>
          </w:p>
          <w:p w14:paraId="2B9E984B" w14:textId="77777777" w:rsidR="008B41FC" w:rsidRPr="00E2654A" w:rsidRDefault="008B41FC" w:rsidP="009A1190">
            <w:pPr>
              <w:rPr>
                <w:rFonts w:eastAsia="Times New Roman" w:cstheme="minorHAnsi"/>
                <w:lang w:eastAsia="en-IE"/>
              </w:rPr>
            </w:pPr>
          </w:p>
          <w:p w14:paraId="422BE55B" w14:textId="77777777" w:rsidR="008B41FC" w:rsidRPr="00E2654A" w:rsidRDefault="009A1190" w:rsidP="009A1190">
            <w:pPr>
              <w:rPr>
                <w:rFonts w:eastAsia="Times New Roman" w:cstheme="minorHAnsi"/>
                <w:lang w:eastAsia="en-IE"/>
              </w:rPr>
            </w:pPr>
            <w:r w:rsidRPr="009A1190">
              <w:rPr>
                <w:rFonts w:eastAsia="Times New Roman" w:cstheme="minorHAnsi"/>
                <w:lang w:eastAsia="en-IE"/>
              </w:rPr>
              <w:t xml:space="preserve">The primary difference between Biologics drugs and Pharmaceuticals drugs is the method by which the drugs are produced. The former are manufactured in living organisms, whereas the latter are manufactured through a series of chemical synthetic steps. Compared to the manufacturing of Pharmaceutical drugs, Biologics drugs present a number of unique challenges: there are complex production processes involved; fragile product - most are administered by injection rather than via the oral route; high risk of product degradation; high process variability; process losses can be high- 30% and upwards; high risk of contamination; complex analytical techniques required. </w:t>
            </w:r>
          </w:p>
          <w:p w14:paraId="1AC69655" w14:textId="77777777" w:rsidR="008B41FC" w:rsidRPr="00E2654A" w:rsidRDefault="008B41FC" w:rsidP="009A1190">
            <w:pPr>
              <w:rPr>
                <w:rFonts w:eastAsia="Times New Roman" w:cstheme="minorHAnsi"/>
                <w:lang w:eastAsia="en-IE"/>
              </w:rPr>
            </w:pPr>
          </w:p>
          <w:p w14:paraId="235EA3E0" w14:textId="77777777" w:rsidR="00282712" w:rsidRDefault="009A1190" w:rsidP="008B41FC">
            <w:pPr>
              <w:rPr>
                <w:rFonts w:eastAsia="Times New Roman" w:cstheme="minorHAnsi"/>
                <w:lang w:eastAsia="en-IE"/>
              </w:rPr>
            </w:pPr>
            <w:r w:rsidRPr="009A1190">
              <w:rPr>
                <w:rFonts w:eastAsia="Times New Roman" w:cstheme="minorHAnsi"/>
                <w:lang w:eastAsia="en-IE"/>
              </w:rPr>
              <w:t xml:space="preserve">The proposed Postgraduate Diploma aims to address the unique challenges posed by the manufacturing of Biologics by the provision of skills pertinent to the biopharmaceutical sector through delivery of a suite of modules, namely: Biopharmaceutical science; Biopharmaceutical </w:t>
            </w:r>
            <w:r w:rsidR="008B41FC" w:rsidRPr="00E2654A">
              <w:rPr>
                <w:rFonts w:eastAsia="Times New Roman" w:cstheme="minorHAnsi"/>
                <w:lang w:eastAsia="en-IE"/>
              </w:rPr>
              <w:t>manufacturing</w:t>
            </w:r>
            <w:r w:rsidRPr="00E2654A">
              <w:rPr>
                <w:rFonts w:eastAsia="Times New Roman" w:cstheme="minorHAnsi"/>
                <w:lang w:eastAsia="en-IE"/>
              </w:rPr>
              <w:t xml:space="preserve">; Applied immunology, immunotherapeutics and vaccine technology; Research project’. Moreover, the Biopharma industry is highly regulated with stringent clean and safe operational requirements and stringent quality compliance and regulatory demands. To address this, students will be trained in Quality Management Systems and Regulatory Affairs; Six Sigma Management; Method Validation for Biopharmaceuticals; </w:t>
            </w:r>
            <w:r w:rsidR="007E0403" w:rsidRPr="00E2654A">
              <w:rPr>
                <w:rFonts w:eastAsia="Times New Roman" w:cstheme="minorHAnsi"/>
                <w:lang w:eastAsia="en-IE"/>
              </w:rPr>
              <w:t xml:space="preserve">and </w:t>
            </w:r>
            <w:r w:rsidRPr="00E2654A">
              <w:rPr>
                <w:rFonts w:eastAsia="Times New Roman" w:cstheme="minorHAnsi"/>
                <w:lang w:eastAsia="en-IE"/>
              </w:rPr>
              <w:t>Design of Experiments</w:t>
            </w:r>
            <w:r w:rsidR="007E0403" w:rsidRPr="00E2654A">
              <w:rPr>
                <w:rFonts w:eastAsia="Times New Roman" w:cstheme="minorHAnsi"/>
                <w:lang w:eastAsia="en-IE"/>
              </w:rPr>
              <w:t>.</w:t>
            </w:r>
          </w:p>
          <w:p w14:paraId="468C5ACA" w14:textId="1479E54E" w:rsidR="001C6330" w:rsidRPr="00E2654A" w:rsidRDefault="001C6330" w:rsidP="008B41FC">
            <w:pPr>
              <w:rPr>
                <w:rFonts w:cstheme="minorHAnsi"/>
                <w:lang w:val="en-GB"/>
              </w:rPr>
            </w:pPr>
          </w:p>
        </w:tc>
      </w:tr>
      <w:tr w:rsidR="00C349E8" w:rsidRPr="00E2654A" w14:paraId="3CE77FB7" w14:textId="77777777" w:rsidTr="470D481D">
        <w:tc>
          <w:tcPr>
            <w:tcW w:w="520" w:type="dxa"/>
          </w:tcPr>
          <w:p w14:paraId="0ACD1490" w14:textId="45A0E511" w:rsidR="00C349E8" w:rsidRPr="00E2654A" w:rsidRDefault="00641A9D" w:rsidP="00641606">
            <w:pPr>
              <w:rPr>
                <w:rFonts w:cstheme="minorHAnsi"/>
                <w:color w:val="FF0000"/>
              </w:rPr>
            </w:pPr>
            <w:r w:rsidRPr="00E2654A">
              <w:rPr>
                <w:rFonts w:cstheme="minorHAnsi"/>
                <w:color w:val="FF0000"/>
              </w:rPr>
              <w:lastRenderedPageBreak/>
              <w:t>1</w:t>
            </w:r>
            <w:r w:rsidR="004D40CB" w:rsidRPr="00E2654A">
              <w:rPr>
                <w:rFonts w:cstheme="minorHAnsi"/>
                <w:color w:val="FF0000"/>
              </w:rPr>
              <w:t>3</w:t>
            </w:r>
            <w:r w:rsidRPr="00E2654A">
              <w:rPr>
                <w:rFonts w:cstheme="minorHAnsi"/>
                <w:color w:val="FF0000"/>
              </w:rPr>
              <w:t>.</w:t>
            </w:r>
          </w:p>
        </w:tc>
        <w:tc>
          <w:tcPr>
            <w:tcW w:w="2353" w:type="dxa"/>
          </w:tcPr>
          <w:p w14:paraId="789A8005" w14:textId="77777777" w:rsidR="00C349E8" w:rsidRPr="00E2654A" w:rsidRDefault="004D1860" w:rsidP="00641606">
            <w:pPr>
              <w:rPr>
                <w:rFonts w:cstheme="minorHAnsi"/>
                <w:color w:val="FF0000"/>
              </w:rPr>
            </w:pPr>
            <w:r w:rsidRPr="00E2654A">
              <w:rPr>
                <w:rFonts w:cstheme="minorHAnsi"/>
                <w:color w:val="FF0000"/>
              </w:rPr>
              <w:t>Potential Demand for Entry:</w:t>
            </w:r>
          </w:p>
        </w:tc>
        <w:tc>
          <w:tcPr>
            <w:tcW w:w="6208" w:type="dxa"/>
            <w:gridSpan w:val="2"/>
          </w:tcPr>
          <w:p w14:paraId="5A2E4A5C" w14:textId="646FC91F" w:rsidR="00702A08" w:rsidRPr="00E2654A" w:rsidRDefault="00791CFE" w:rsidP="00A770ED">
            <w:pPr>
              <w:rPr>
                <w:rFonts w:cstheme="minorHAnsi"/>
              </w:rPr>
            </w:pPr>
            <w:r w:rsidRPr="00E2654A">
              <w:rPr>
                <w:rFonts w:cstheme="minorHAnsi"/>
              </w:rPr>
              <w:t>16 students per intake.</w:t>
            </w:r>
          </w:p>
        </w:tc>
      </w:tr>
      <w:tr w:rsidR="00C349E8" w:rsidRPr="00E2654A" w14:paraId="2757CE3E" w14:textId="77777777" w:rsidTr="470D481D">
        <w:tc>
          <w:tcPr>
            <w:tcW w:w="520" w:type="dxa"/>
          </w:tcPr>
          <w:p w14:paraId="181B7696" w14:textId="07201249" w:rsidR="00C349E8" w:rsidRPr="00E2654A" w:rsidRDefault="00641A9D" w:rsidP="00641606">
            <w:pPr>
              <w:rPr>
                <w:rFonts w:cstheme="minorHAnsi"/>
                <w:color w:val="FF0000"/>
              </w:rPr>
            </w:pPr>
            <w:r w:rsidRPr="00E2654A">
              <w:rPr>
                <w:rFonts w:cstheme="minorHAnsi"/>
                <w:color w:val="FF0000"/>
              </w:rPr>
              <w:t>1</w:t>
            </w:r>
            <w:r w:rsidR="004D40CB" w:rsidRPr="00E2654A">
              <w:rPr>
                <w:rFonts w:cstheme="minorHAnsi"/>
                <w:color w:val="FF0000"/>
              </w:rPr>
              <w:t>4</w:t>
            </w:r>
            <w:r w:rsidRPr="00E2654A">
              <w:rPr>
                <w:rFonts w:cstheme="minorHAnsi"/>
                <w:color w:val="FF0000"/>
              </w:rPr>
              <w:t>.</w:t>
            </w:r>
          </w:p>
        </w:tc>
        <w:tc>
          <w:tcPr>
            <w:tcW w:w="2353" w:type="dxa"/>
          </w:tcPr>
          <w:p w14:paraId="70A10991" w14:textId="77777777" w:rsidR="00C349E8" w:rsidRPr="00E2654A" w:rsidRDefault="004D1860" w:rsidP="00641606">
            <w:pPr>
              <w:rPr>
                <w:rFonts w:cstheme="minorHAnsi"/>
                <w:color w:val="FF0000"/>
              </w:rPr>
            </w:pPr>
            <w:r w:rsidRPr="00E2654A">
              <w:rPr>
                <w:rFonts w:cstheme="minorHAnsi"/>
                <w:color w:val="FF0000"/>
              </w:rPr>
              <w:t>Stakeholder Engagement:</w:t>
            </w:r>
          </w:p>
        </w:tc>
        <w:tc>
          <w:tcPr>
            <w:tcW w:w="6208" w:type="dxa"/>
            <w:gridSpan w:val="2"/>
          </w:tcPr>
          <w:p w14:paraId="1B6E1836" w14:textId="38EEE10E" w:rsidR="00282712" w:rsidRDefault="00F3057F" w:rsidP="00A770ED">
            <w:pPr>
              <w:rPr>
                <w:rFonts w:cstheme="minorHAnsi"/>
              </w:rPr>
            </w:pPr>
            <w:r w:rsidRPr="00E2654A">
              <w:rPr>
                <w:rFonts w:cstheme="minorHAnsi"/>
              </w:rPr>
              <w:t xml:space="preserve">The modules for this programme have been designed with industry input, tailoring the programme to identified companies’ needs. Review of graduate employment statistics combined with employer feedback has identified skills gaps that are addressed by the course proposal. Module content will contain emerging </w:t>
            </w:r>
            <w:r w:rsidRPr="00E2654A">
              <w:rPr>
                <w:rFonts w:cstheme="minorHAnsi"/>
              </w:rPr>
              <w:lastRenderedPageBreak/>
              <w:t xml:space="preserve">technologies based on the technological advice of biopharma on best industry practice such as the burgeoning area of immuno-therapeutics, cell-based therapeutics, bio-similars and gene therapy. Following consultation with </w:t>
            </w:r>
            <w:r w:rsidR="00BE680C">
              <w:rPr>
                <w:rFonts w:cstheme="minorHAnsi"/>
              </w:rPr>
              <w:t xml:space="preserve">the </w:t>
            </w:r>
            <w:r w:rsidRPr="00E2654A">
              <w:rPr>
                <w:rFonts w:cstheme="minorHAnsi"/>
              </w:rPr>
              <w:t>regional skills fora, an endorsement of the proposed course</w:t>
            </w:r>
            <w:r w:rsidR="00BE680C">
              <w:rPr>
                <w:rFonts w:cstheme="minorHAnsi"/>
              </w:rPr>
              <w:t xml:space="preserve">  </w:t>
            </w:r>
            <w:r w:rsidRPr="00E2654A">
              <w:rPr>
                <w:rFonts w:cstheme="minorHAnsi"/>
              </w:rPr>
              <w:t>was obtained</w:t>
            </w:r>
            <w:r w:rsidR="00587383">
              <w:rPr>
                <w:rFonts w:cstheme="minorHAnsi"/>
              </w:rPr>
              <w:t xml:space="preserve"> which </w:t>
            </w:r>
            <w:r w:rsidR="00344251">
              <w:rPr>
                <w:rFonts w:cstheme="minorHAnsi"/>
              </w:rPr>
              <w:t>o</w:t>
            </w:r>
            <w:r w:rsidRPr="00E2654A">
              <w:rPr>
                <w:rFonts w:cstheme="minorHAnsi"/>
              </w:rPr>
              <w:t>utlin</w:t>
            </w:r>
            <w:r w:rsidR="00344251">
              <w:rPr>
                <w:rFonts w:cstheme="minorHAnsi"/>
              </w:rPr>
              <w:t>ed</w:t>
            </w:r>
            <w:r w:rsidRPr="00E2654A">
              <w:rPr>
                <w:rFonts w:cstheme="minorHAnsi"/>
              </w:rPr>
              <w:t xml:space="preserve"> the need for the programme based on the research and consultation </w:t>
            </w:r>
            <w:r w:rsidR="00B843C9">
              <w:rPr>
                <w:rFonts w:cstheme="minorHAnsi"/>
              </w:rPr>
              <w:t xml:space="preserve">they had </w:t>
            </w:r>
            <w:r w:rsidRPr="00E2654A">
              <w:rPr>
                <w:rFonts w:cstheme="minorHAnsi"/>
              </w:rPr>
              <w:t>conducted.</w:t>
            </w:r>
          </w:p>
          <w:p w14:paraId="6CF8FEE7" w14:textId="00C1873E" w:rsidR="001C6330" w:rsidRPr="00E2654A" w:rsidRDefault="001C6330" w:rsidP="00A770ED">
            <w:pPr>
              <w:rPr>
                <w:rFonts w:cstheme="minorHAnsi"/>
              </w:rPr>
            </w:pPr>
          </w:p>
        </w:tc>
      </w:tr>
      <w:tr w:rsidR="00C349E8" w:rsidRPr="00E2654A" w14:paraId="0B1A6D35" w14:textId="77777777" w:rsidTr="470D481D">
        <w:tc>
          <w:tcPr>
            <w:tcW w:w="520" w:type="dxa"/>
          </w:tcPr>
          <w:p w14:paraId="6E8FF0C5" w14:textId="28F1DB9F" w:rsidR="00C349E8" w:rsidRPr="00E2654A" w:rsidRDefault="00641A9D" w:rsidP="00641606">
            <w:pPr>
              <w:rPr>
                <w:rFonts w:cstheme="minorHAnsi"/>
                <w:color w:val="FF0000"/>
              </w:rPr>
            </w:pPr>
            <w:r w:rsidRPr="00E2654A">
              <w:rPr>
                <w:rFonts w:cstheme="minorHAnsi"/>
                <w:color w:val="FF0000"/>
              </w:rPr>
              <w:lastRenderedPageBreak/>
              <w:t>1</w:t>
            </w:r>
            <w:r w:rsidR="004D40CB" w:rsidRPr="00E2654A">
              <w:rPr>
                <w:rFonts w:cstheme="minorHAnsi"/>
                <w:color w:val="FF0000"/>
              </w:rPr>
              <w:t>5</w:t>
            </w:r>
            <w:r w:rsidRPr="00E2654A">
              <w:rPr>
                <w:rFonts w:cstheme="minorHAnsi"/>
                <w:color w:val="FF0000"/>
              </w:rPr>
              <w:t>.</w:t>
            </w:r>
          </w:p>
        </w:tc>
        <w:tc>
          <w:tcPr>
            <w:tcW w:w="2353" w:type="dxa"/>
          </w:tcPr>
          <w:p w14:paraId="2314A403" w14:textId="77777777" w:rsidR="00C349E8" w:rsidRPr="00E2654A" w:rsidRDefault="004D1860" w:rsidP="00641606">
            <w:pPr>
              <w:rPr>
                <w:rFonts w:cstheme="minorHAnsi"/>
                <w:color w:val="FF0000"/>
              </w:rPr>
            </w:pPr>
            <w:r w:rsidRPr="00E2654A">
              <w:rPr>
                <w:rFonts w:cstheme="minorHAnsi"/>
                <w:color w:val="FF0000"/>
              </w:rPr>
              <w:t>Graduate Demand:</w:t>
            </w:r>
          </w:p>
        </w:tc>
        <w:tc>
          <w:tcPr>
            <w:tcW w:w="6208" w:type="dxa"/>
            <w:gridSpan w:val="2"/>
          </w:tcPr>
          <w:p w14:paraId="44B4A12E" w14:textId="6E4C2927" w:rsidR="008750CB" w:rsidRDefault="0084406F" w:rsidP="00A770ED">
            <w:pPr>
              <w:rPr>
                <w:rFonts w:cstheme="minorHAnsi"/>
              </w:rPr>
            </w:pPr>
            <w:r w:rsidRPr="00E2654A">
              <w:rPr>
                <w:rFonts w:cstheme="minorHAnsi"/>
              </w:rPr>
              <w:t>The Western Region has a globally recogni</w:t>
            </w:r>
            <w:r w:rsidR="00B843C9">
              <w:rPr>
                <w:rFonts w:cstheme="minorHAnsi"/>
              </w:rPr>
              <w:t>s</w:t>
            </w:r>
            <w:r w:rsidRPr="00E2654A">
              <w:rPr>
                <w:rFonts w:cstheme="minorHAnsi"/>
              </w:rPr>
              <w:t>ed cluster of life science multinationals and indigenous companies</w:t>
            </w:r>
            <w:r w:rsidR="001E1815">
              <w:rPr>
                <w:rFonts w:cstheme="minorHAnsi"/>
              </w:rPr>
              <w:t>.  G</w:t>
            </w:r>
            <w:r w:rsidRPr="00E2654A">
              <w:rPr>
                <w:rFonts w:cstheme="minorHAnsi"/>
              </w:rPr>
              <w:t>lobal and local challenges will impact on the life sciences sector in both the short term and long term</w:t>
            </w:r>
            <w:r w:rsidR="001E1815">
              <w:rPr>
                <w:rFonts w:cstheme="minorHAnsi"/>
              </w:rPr>
              <w:t>,</w:t>
            </w:r>
            <w:r w:rsidRPr="00E2654A">
              <w:rPr>
                <w:rFonts w:cstheme="minorHAnsi"/>
              </w:rPr>
              <w:t xml:space="preserve"> including the demand for</w:t>
            </w:r>
            <w:r w:rsidR="001E1815">
              <w:rPr>
                <w:rFonts w:cstheme="minorHAnsi"/>
              </w:rPr>
              <w:t xml:space="preserve"> </w:t>
            </w:r>
            <w:r w:rsidRPr="00E2654A">
              <w:rPr>
                <w:rFonts w:cstheme="minorHAnsi"/>
              </w:rPr>
              <w:t>skilled workers and changing profile of skills needs</w:t>
            </w:r>
            <w:r w:rsidR="001E1815">
              <w:rPr>
                <w:rFonts w:cstheme="minorHAnsi"/>
              </w:rPr>
              <w:t>.  T</w:t>
            </w:r>
            <w:r w:rsidRPr="00E2654A">
              <w:rPr>
                <w:rFonts w:cstheme="minorHAnsi"/>
              </w:rPr>
              <w:t>he demand for</w:t>
            </w:r>
            <w:r w:rsidR="001E1815">
              <w:rPr>
                <w:rFonts w:cstheme="minorHAnsi"/>
              </w:rPr>
              <w:t xml:space="preserve"> the</w:t>
            </w:r>
            <w:r w:rsidRPr="00E2654A">
              <w:rPr>
                <w:rFonts w:cstheme="minorHAnsi"/>
              </w:rPr>
              <w:t xml:space="preserve"> proposed programme is evident </w:t>
            </w:r>
            <w:r w:rsidR="001E1815">
              <w:rPr>
                <w:rFonts w:cstheme="minorHAnsi"/>
              </w:rPr>
              <w:t>from the</w:t>
            </w:r>
            <w:r w:rsidRPr="00E2654A">
              <w:rPr>
                <w:rFonts w:cstheme="minorHAnsi"/>
              </w:rPr>
              <w:t xml:space="preserve"> focused exploration the sector’s current and future needs. The proposed Postgraduate Diploma in Advanced Biopharmaceutical Science will future proof graduates with industry relevant skills for emerging technologies.</w:t>
            </w:r>
          </w:p>
          <w:p w14:paraId="69E4D709" w14:textId="69A39C6B" w:rsidR="001C6330" w:rsidRPr="00E2654A" w:rsidRDefault="001C6330" w:rsidP="00A770ED">
            <w:pPr>
              <w:rPr>
                <w:rFonts w:cstheme="minorHAnsi"/>
              </w:rPr>
            </w:pPr>
          </w:p>
        </w:tc>
      </w:tr>
      <w:tr w:rsidR="00C349E8" w:rsidRPr="00E2654A" w14:paraId="14187407" w14:textId="77777777" w:rsidTr="470D481D">
        <w:tc>
          <w:tcPr>
            <w:tcW w:w="520" w:type="dxa"/>
          </w:tcPr>
          <w:p w14:paraId="06E14B1A" w14:textId="7E7FE23D" w:rsidR="00C349E8" w:rsidRPr="00E2654A" w:rsidRDefault="00641A9D" w:rsidP="00641606">
            <w:pPr>
              <w:rPr>
                <w:rFonts w:cstheme="minorHAnsi"/>
                <w:color w:val="FF0000"/>
              </w:rPr>
            </w:pPr>
            <w:r w:rsidRPr="00E2654A">
              <w:rPr>
                <w:rFonts w:cstheme="minorHAnsi"/>
                <w:color w:val="FF0000"/>
              </w:rPr>
              <w:t>1</w:t>
            </w:r>
            <w:r w:rsidR="004D40CB" w:rsidRPr="00E2654A">
              <w:rPr>
                <w:rFonts w:cstheme="minorHAnsi"/>
                <w:color w:val="FF0000"/>
              </w:rPr>
              <w:t>6</w:t>
            </w:r>
            <w:r w:rsidRPr="00E2654A">
              <w:rPr>
                <w:rFonts w:cstheme="minorHAnsi"/>
                <w:color w:val="FF0000"/>
              </w:rPr>
              <w:t>.</w:t>
            </w:r>
          </w:p>
        </w:tc>
        <w:tc>
          <w:tcPr>
            <w:tcW w:w="2353" w:type="dxa"/>
          </w:tcPr>
          <w:p w14:paraId="0C0AE928" w14:textId="553E2A18" w:rsidR="00C349E8" w:rsidRPr="00E2654A" w:rsidRDefault="005E0D30" w:rsidP="00641606">
            <w:pPr>
              <w:rPr>
                <w:rFonts w:cstheme="minorHAnsi"/>
                <w:color w:val="FF0000"/>
              </w:rPr>
            </w:pPr>
            <w:r w:rsidRPr="00E2654A">
              <w:rPr>
                <w:rFonts w:cstheme="minorHAnsi"/>
                <w:color w:val="FF0000"/>
              </w:rPr>
              <w:t xml:space="preserve">Entry Requirements, </w:t>
            </w:r>
            <w:r w:rsidR="00D8172B" w:rsidRPr="00E2654A">
              <w:rPr>
                <w:rFonts w:cstheme="minorHAnsi"/>
                <w:color w:val="FF0000"/>
              </w:rPr>
              <w:t>Access, Transfer &amp; Progression:</w:t>
            </w:r>
          </w:p>
        </w:tc>
        <w:tc>
          <w:tcPr>
            <w:tcW w:w="6208" w:type="dxa"/>
            <w:gridSpan w:val="2"/>
          </w:tcPr>
          <w:p w14:paraId="6B53A0D6" w14:textId="77777777" w:rsidR="00EE6050" w:rsidRPr="00E2654A" w:rsidRDefault="00EE6050" w:rsidP="00A770ED">
            <w:pPr>
              <w:rPr>
                <w:rFonts w:cstheme="minorHAnsi"/>
                <w:u w:val="single"/>
              </w:rPr>
            </w:pPr>
            <w:r w:rsidRPr="00E2654A">
              <w:rPr>
                <w:rFonts w:cstheme="minorHAnsi"/>
                <w:u w:val="single"/>
              </w:rPr>
              <w:t>Minimum Entry Requirements</w:t>
            </w:r>
          </w:p>
          <w:p w14:paraId="0B3B358C" w14:textId="530A6CD2" w:rsidR="00EE6050" w:rsidRPr="00E2654A" w:rsidRDefault="00EE6050" w:rsidP="00A770ED">
            <w:pPr>
              <w:rPr>
                <w:rFonts w:cstheme="minorHAnsi"/>
              </w:rPr>
            </w:pPr>
            <w:r w:rsidRPr="00E2654A">
              <w:rPr>
                <w:rFonts w:cstheme="minorHAnsi"/>
              </w:rPr>
              <w:t>A H2.2 Bachelor degree at level 8 in any cognate discipline, such as biochemistry, biology, microbiology, biomedical, chemistry or equivalent, is the minimum entry requirement for this programme.</w:t>
            </w:r>
          </w:p>
          <w:p w14:paraId="07F0089C" w14:textId="77777777" w:rsidR="00EE6050" w:rsidRPr="00E2654A" w:rsidRDefault="00EE6050" w:rsidP="00A770ED">
            <w:pPr>
              <w:rPr>
                <w:rFonts w:cstheme="minorHAnsi"/>
              </w:rPr>
            </w:pPr>
          </w:p>
          <w:p w14:paraId="3E02B45A" w14:textId="77777777" w:rsidR="00EE6050" w:rsidRPr="00E2654A" w:rsidRDefault="00EE6050" w:rsidP="00A770ED">
            <w:pPr>
              <w:rPr>
                <w:rFonts w:cstheme="minorHAnsi"/>
                <w:u w:val="single"/>
              </w:rPr>
            </w:pPr>
            <w:r w:rsidRPr="00E2654A">
              <w:rPr>
                <w:rFonts w:cstheme="minorHAnsi"/>
                <w:u w:val="single"/>
              </w:rPr>
              <w:t>English Language Requirements</w:t>
            </w:r>
          </w:p>
          <w:p w14:paraId="3DE5740F" w14:textId="00EDCDF4" w:rsidR="00EE6050" w:rsidRPr="00E2654A" w:rsidRDefault="00EE6050" w:rsidP="00A770ED">
            <w:pPr>
              <w:rPr>
                <w:rFonts w:cstheme="minorHAnsi"/>
              </w:rPr>
            </w:pPr>
            <w:r w:rsidRPr="00E2654A">
              <w:rPr>
                <w:rFonts w:cstheme="minorHAnsi"/>
              </w:rPr>
              <w:t xml:space="preserve">English Language Requirements will be as determined by GMIT and as published in the Access, Transfer and Progression code. </w:t>
            </w:r>
          </w:p>
          <w:p w14:paraId="3A524354" w14:textId="77777777" w:rsidR="00EE6050" w:rsidRPr="00E2654A" w:rsidRDefault="00EE6050" w:rsidP="00A770ED">
            <w:pPr>
              <w:rPr>
                <w:rFonts w:cstheme="minorHAnsi"/>
              </w:rPr>
            </w:pPr>
          </w:p>
          <w:p w14:paraId="69220D75" w14:textId="77777777" w:rsidR="00013A12" w:rsidRPr="00E2654A" w:rsidRDefault="00EE6050" w:rsidP="00A770ED">
            <w:pPr>
              <w:rPr>
                <w:rFonts w:cstheme="minorHAnsi"/>
                <w:u w:val="single"/>
              </w:rPr>
            </w:pPr>
            <w:r w:rsidRPr="00E2654A">
              <w:rPr>
                <w:rFonts w:cstheme="minorHAnsi"/>
                <w:u w:val="single"/>
              </w:rPr>
              <w:t>Alternative Admission Routes</w:t>
            </w:r>
          </w:p>
          <w:p w14:paraId="422A316D" w14:textId="6080BAA4" w:rsidR="00A40BA2" w:rsidRPr="00E2654A" w:rsidRDefault="00EE6050" w:rsidP="00A770ED">
            <w:pPr>
              <w:rPr>
                <w:rFonts w:cstheme="minorHAnsi"/>
              </w:rPr>
            </w:pPr>
            <w:r w:rsidRPr="00E2654A">
              <w:rPr>
                <w:rFonts w:cstheme="minorHAnsi"/>
              </w:rPr>
              <w:t>GMIT is committed to the principles of transparency, equity and fairness in recognition of prior learning (RPL) and to the principle of valuing all</w:t>
            </w:r>
            <w:r w:rsidR="00013A12" w:rsidRPr="00E2654A">
              <w:rPr>
                <w:rFonts w:cstheme="minorHAnsi"/>
              </w:rPr>
              <w:t xml:space="preserve"> </w:t>
            </w:r>
            <w:r w:rsidRPr="00E2654A">
              <w:rPr>
                <w:rFonts w:cstheme="minorHAnsi"/>
              </w:rPr>
              <w:t>learning regardless of the mode or place of its acquisition. For applicants without this qualification, the RPL process of GMIT will be used to</w:t>
            </w:r>
            <w:r w:rsidR="00013A12" w:rsidRPr="00E2654A">
              <w:rPr>
                <w:rFonts w:cstheme="minorHAnsi"/>
              </w:rPr>
              <w:t xml:space="preserve"> </w:t>
            </w:r>
            <w:r w:rsidRPr="00E2654A">
              <w:rPr>
                <w:rFonts w:cstheme="minorHAnsi"/>
              </w:rPr>
              <w:t>determine admission to the programme.</w:t>
            </w:r>
            <w:r w:rsidR="00013A12" w:rsidRPr="00E2654A">
              <w:rPr>
                <w:rFonts w:cstheme="minorHAnsi"/>
              </w:rPr>
              <w:t xml:space="preserve"> </w:t>
            </w:r>
            <w:r w:rsidRPr="00E2654A">
              <w:rPr>
                <w:rFonts w:cstheme="minorHAnsi"/>
              </w:rPr>
              <w:t>Academic Code of Practice No. 6 outlines the policies and procedures for the Recognition of Prior Learning and guidance for applicants is</w:t>
            </w:r>
            <w:r w:rsidR="00013A12" w:rsidRPr="00E2654A">
              <w:rPr>
                <w:rFonts w:cstheme="minorHAnsi"/>
              </w:rPr>
              <w:t xml:space="preserve"> </w:t>
            </w:r>
            <w:r w:rsidRPr="00E2654A">
              <w:rPr>
                <w:rFonts w:cstheme="minorHAnsi"/>
              </w:rPr>
              <w:t xml:space="preserve">provided on myexperience.ie </w:t>
            </w:r>
          </w:p>
          <w:p w14:paraId="199F6CAA" w14:textId="76F222B3" w:rsidR="00A40BA2" w:rsidRPr="00E2654A" w:rsidRDefault="00A40BA2" w:rsidP="00A770ED">
            <w:pPr>
              <w:rPr>
                <w:rFonts w:cstheme="minorHAnsi"/>
              </w:rPr>
            </w:pPr>
          </w:p>
        </w:tc>
      </w:tr>
      <w:tr w:rsidR="00D8172B" w:rsidRPr="00E2654A" w14:paraId="7A9281D0" w14:textId="77777777" w:rsidTr="470D481D">
        <w:tc>
          <w:tcPr>
            <w:tcW w:w="520" w:type="dxa"/>
          </w:tcPr>
          <w:p w14:paraId="0927E1D9" w14:textId="17EDEE72" w:rsidR="00D8172B" w:rsidRPr="00E2654A" w:rsidRDefault="00D8172B" w:rsidP="00D8172B">
            <w:pPr>
              <w:rPr>
                <w:rFonts w:cstheme="minorHAnsi"/>
                <w:color w:val="FF0000"/>
              </w:rPr>
            </w:pPr>
            <w:r w:rsidRPr="00E2654A">
              <w:rPr>
                <w:rFonts w:cstheme="minorHAnsi"/>
                <w:color w:val="FF0000"/>
              </w:rPr>
              <w:t>1</w:t>
            </w:r>
            <w:r w:rsidR="004D40CB" w:rsidRPr="00E2654A">
              <w:rPr>
                <w:rFonts w:cstheme="minorHAnsi"/>
                <w:color w:val="FF0000"/>
              </w:rPr>
              <w:t>7</w:t>
            </w:r>
            <w:r w:rsidRPr="00E2654A">
              <w:rPr>
                <w:rFonts w:cstheme="minorHAnsi"/>
                <w:color w:val="FF0000"/>
              </w:rPr>
              <w:t>.</w:t>
            </w:r>
          </w:p>
        </w:tc>
        <w:tc>
          <w:tcPr>
            <w:tcW w:w="2353" w:type="dxa"/>
          </w:tcPr>
          <w:p w14:paraId="5A10093D" w14:textId="77777777" w:rsidR="00D8172B" w:rsidRPr="00E2654A" w:rsidRDefault="00D8172B" w:rsidP="00D8172B">
            <w:pPr>
              <w:rPr>
                <w:rFonts w:cstheme="minorHAnsi"/>
                <w:color w:val="FF0000"/>
              </w:rPr>
            </w:pPr>
            <w:r w:rsidRPr="00E2654A">
              <w:rPr>
                <w:rFonts w:cstheme="minorHAnsi"/>
                <w:color w:val="FF0000"/>
              </w:rPr>
              <w:t>Programme Structure:</w:t>
            </w:r>
          </w:p>
        </w:tc>
        <w:tc>
          <w:tcPr>
            <w:tcW w:w="6208" w:type="dxa"/>
            <w:gridSpan w:val="2"/>
          </w:tcPr>
          <w:p w14:paraId="4B8A7DE3" w14:textId="77777777" w:rsidR="00846A2B" w:rsidRDefault="009C5750" w:rsidP="00A770ED">
            <w:pPr>
              <w:rPr>
                <w:rFonts w:cstheme="minorHAnsi"/>
              </w:rPr>
            </w:pPr>
            <w:r w:rsidRPr="00E2654A">
              <w:rPr>
                <w:rFonts w:cstheme="minorHAnsi"/>
              </w:rPr>
              <w:t xml:space="preserve">The programme consists of </w:t>
            </w:r>
            <w:r w:rsidR="00B5719C" w:rsidRPr="00E2654A">
              <w:rPr>
                <w:rFonts w:cstheme="minorHAnsi"/>
              </w:rPr>
              <w:t>a mixture of 5 and 10 ECTS modules delivered over two semesters.  The capstone module is a 10 ECTS research project.</w:t>
            </w:r>
          </w:p>
          <w:p w14:paraId="343F46F9" w14:textId="60983DDF" w:rsidR="001C6330" w:rsidRPr="00E2654A" w:rsidRDefault="001C6330" w:rsidP="00A770ED">
            <w:pPr>
              <w:rPr>
                <w:rFonts w:cstheme="minorHAnsi"/>
              </w:rPr>
            </w:pPr>
          </w:p>
        </w:tc>
      </w:tr>
      <w:tr w:rsidR="00D8172B" w:rsidRPr="00E2654A" w14:paraId="47C13162" w14:textId="77777777" w:rsidTr="470D481D">
        <w:tc>
          <w:tcPr>
            <w:tcW w:w="520" w:type="dxa"/>
          </w:tcPr>
          <w:p w14:paraId="7D54FBE9" w14:textId="18028853" w:rsidR="00D8172B" w:rsidRPr="00E2654A" w:rsidRDefault="004D40CB" w:rsidP="00D8172B">
            <w:pPr>
              <w:rPr>
                <w:rFonts w:cstheme="minorHAnsi"/>
                <w:color w:val="FF0000"/>
              </w:rPr>
            </w:pPr>
            <w:r w:rsidRPr="00E2654A">
              <w:rPr>
                <w:rFonts w:cstheme="minorHAnsi"/>
                <w:color w:val="FF0000"/>
              </w:rPr>
              <w:t>18</w:t>
            </w:r>
            <w:r w:rsidR="00D8172B" w:rsidRPr="00E2654A">
              <w:rPr>
                <w:rFonts w:cstheme="minorHAnsi"/>
                <w:color w:val="FF0000"/>
              </w:rPr>
              <w:t>.</w:t>
            </w:r>
          </w:p>
        </w:tc>
        <w:tc>
          <w:tcPr>
            <w:tcW w:w="2353" w:type="dxa"/>
          </w:tcPr>
          <w:p w14:paraId="405107F0" w14:textId="77777777" w:rsidR="00D8172B" w:rsidRPr="00E2654A" w:rsidRDefault="00D8172B" w:rsidP="00D8172B">
            <w:pPr>
              <w:rPr>
                <w:rFonts w:cstheme="minorHAnsi"/>
                <w:color w:val="FF0000"/>
              </w:rPr>
            </w:pPr>
            <w:r w:rsidRPr="00E2654A">
              <w:rPr>
                <w:rFonts w:cstheme="minorHAnsi"/>
                <w:color w:val="FF0000"/>
              </w:rPr>
              <w:t>Learning, Teaching &amp; Assessment Strategies:</w:t>
            </w:r>
          </w:p>
        </w:tc>
        <w:tc>
          <w:tcPr>
            <w:tcW w:w="6208" w:type="dxa"/>
            <w:gridSpan w:val="2"/>
          </w:tcPr>
          <w:p w14:paraId="0EFB2D9F" w14:textId="77777777" w:rsidR="002250F9" w:rsidRDefault="00D00408" w:rsidP="00A770ED">
            <w:pPr>
              <w:rPr>
                <w:rFonts w:cstheme="minorHAnsi"/>
              </w:rPr>
            </w:pPr>
            <w:r w:rsidRPr="00E2654A">
              <w:rPr>
                <w:rFonts w:cstheme="minorHAnsi"/>
              </w:rPr>
              <w:t>Student-centred teaching strategies will maximi</w:t>
            </w:r>
            <w:r w:rsidR="002250F9">
              <w:rPr>
                <w:rFonts w:cstheme="minorHAnsi"/>
              </w:rPr>
              <w:t>s</w:t>
            </w:r>
            <w:r w:rsidRPr="00E2654A">
              <w:rPr>
                <w:rFonts w:cstheme="minorHAnsi"/>
              </w:rPr>
              <w:t>e problem-based learning focussed on real-world scenarios relevant to the discipline. A</w:t>
            </w:r>
            <w:r w:rsidR="00E2654A" w:rsidRPr="00E2654A">
              <w:rPr>
                <w:rFonts w:cstheme="minorHAnsi"/>
              </w:rPr>
              <w:t xml:space="preserve"> </w:t>
            </w:r>
            <w:r w:rsidRPr="00E2654A">
              <w:rPr>
                <w:rFonts w:cstheme="minorHAnsi"/>
              </w:rPr>
              <w:t xml:space="preserve">variety of teaching modalities fit to the content of a course will be used: </w:t>
            </w:r>
          </w:p>
          <w:p w14:paraId="2B9D6145" w14:textId="78347E5D" w:rsidR="002250F9" w:rsidRDefault="00D00408" w:rsidP="00A770ED">
            <w:pPr>
              <w:rPr>
                <w:rFonts w:cstheme="minorHAnsi"/>
              </w:rPr>
            </w:pPr>
            <w:r w:rsidRPr="00E2654A">
              <w:rPr>
                <w:rFonts w:cstheme="minorHAnsi"/>
              </w:rPr>
              <w:t>Lectures (live online and recorded): provided by academic</w:t>
            </w:r>
            <w:r w:rsidR="000836DA">
              <w:rPr>
                <w:rFonts w:cstheme="minorHAnsi"/>
              </w:rPr>
              <w:t xml:space="preserve">, </w:t>
            </w:r>
            <w:r w:rsidRPr="00E2654A">
              <w:rPr>
                <w:rFonts w:cstheme="minorHAnsi"/>
              </w:rPr>
              <w:t xml:space="preserve">research </w:t>
            </w:r>
            <w:r w:rsidR="000836DA">
              <w:rPr>
                <w:rFonts w:cstheme="minorHAnsi"/>
              </w:rPr>
              <w:t>and industry personnel.</w:t>
            </w:r>
            <w:r w:rsidRPr="00E2654A">
              <w:rPr>
                <w:rFonts w:cstheme="minorHAnsi"/>
              </w:rPr>
              <w:t xml:space="preserve"> </w:t>
            </w:r>
          </w:p>
          <w:p w14:paraId="31631508" w14:textId="77777777" w:rsidR="002250F9" w:rsidRDefault="00D00408" w:rsidP="00A770ED">
            <w:pPr>
              <w:rPr>
                <w:rFonts w:cstheme="minorHAnsi"/>
              </w:rPr>
            </w:pPr>
            <w:r w:rsidRPr="00E2654A">
              <w:rPr>
                <w:rFonts w:cstheme="minorHAnsi"/>
              </w:rPr>
              <w:t xml:space="preserve">Exercises: in group - with tutoring online </w:t>
            </w:r>
          </w:p>
          <w:p w14:paraId="1D8EE79B" w14:textId="77777777" w:rsidR="002250F9" w:rsidRDefault="00D00408" w:rsidP="00A770ED">
            <w:pPr>
              <w:rPr>
                <w:rFonts w:cstheme="minorHAnsi"/>
              </w:rPr>
            </w:pPr>
            <w:r w:rsidRPr="00E2654A">
              <w:rPr>
                <w:rFonts w:cstheme="minorHAnsi"/>
              </w:rPr>
              <w:t>Seminars: a session in which a specific topic fitting the scope of the course is discussed by an expert in the field.</w:t>
            </w:r>
          </w:p>
          <w:p w14:paraId="7D63FCA4" w14:textId="77777777" w:rsidR="002250F9" w:rsidRDefault="00D00408" w:rsidP="00A770ED">
            <w:pPr>
              <w:rPr>
                <w:rFonts w:cstheme="minorHAnsi"/>
              </w:rPr>
            </w:pPr>
            <w:r w:rsidRPr="00E2654A">
              <w:rPr>
                <w:rFonts w:cstheme="minorHAnsi"/>
              </w:rPr>
              <w:lastRenderedPageBreak/>
              <w:t xml:space="preserve">Practical exercises: sessions in laboratory facilities in which students get hands-on practical training. </w:t>
            </w:r>
          </w:p>
          <w:p w14:paraId="50EE72E8" w14:textId="77777777" w:rsidR="002250F9" w:rsidRDefault="00D00408" w:rsidP="00A770ED">
            <w:pPr>
              <w:rPr>
                <w:rFonts w:cstheme="minorHAnsi"/>
              </w:rPr>
            </w:pPr>
            <w:r w:rsidRPr="00E2654A">
              <w:rPr>
                <w:rFonts w:cstheme="minorHAnsi"/>
              </w:rPr>
              <w:t xml:space="preserve">Intensive group activities: for example in class debates, role play, journal clubs. </w:t>
            </w:r>
          </w:p>
          <w:p w14:paraId="024C0D5E" w14:textId="7FE00A0C" w:rsidR="00D8172B" w:rsidRPr="00E2654A" w:rsidRDefault="00D00408" w:rsidP="00A770ED">
            <w:pPr>
              <w:rPr>
                <w:rFonts w:cstheme="minorHAnsi"/>
              </w:rPr>
            </w:pPr>
            <w:r w:rsidRPr="00E2654A">
              <w:rPr>
                <w:rFonts w:cstheme="minorHAnsi"/>
              </w:rPr>
              <w:t>Research based learning: learning from being actively or passively involved in a research activity.</w:t>
            </w:r>
          </w:p>
          <w:p w14:paraId="1671E9DE" w14:textId="77777777" w:rsidR="00B90E1F" w:rsidRPr="00E2654A" w:rsidRDefault="00B90E1F" w:rsidP="00A770ED">
            <w:pPr>
              <w:rPr>
                <w:rFonts w:cstheme="minorHAnsi"/>
              </w:rPr>
            </w:pPr>
          </w:p>
          <w:p w14:paraId="3F2143A4" w14:textId="77777777" w:rsidR="00B90E1F" w:rsidRDefault="00E2654A" w:rsidP="00A770ED">
            <w:pPr>
              <w:rPr>
                <w:rFonts w:cstheme="minorHAnsi"/>
              </w:rPr>
            </w:pPr>
            <w:r w:rsidRPr="00E2654A">
              <w:rPr>
                <w:rFonts w:cstheme="minorHAnsi"/>
              </w:rPr>
              <w:t>The wide variety of assessment strategies employed will ensure that students with a wide range of learning styles will be facilitated. Assessment methods will include: terminal examinations, continuous assessments, written technical reports/assignments based on work carried out in the lab, oral presentations, statistical analysis and a literature review.  An assessment schedule will be drawn up by the programme board at the start of the semester to ensure a balanced workload for students over the entire semester.</w:t>
            </w:r>
          </w:p>
          <w:p w14:paraId="7FAA6A69" w14:textId="1B0C3A32" w:rsidR="001C6330" w:rsidRPr="00E2654A" w:rsidRDefault="001C6330" w:rsidP="00A770ED">
            <w:pPr>
              <w:rPr>
                <w:rFonts w:cstheme="minorHAnsi"/>
              </w:rPr>
            </w:pPr>
          </w:p>
        </w:tc>
      </w:tr>
      <w:tr w:rsidR="00D8172B" w:rsidRPr="00E2654A" w14:paraId="50B519ED" w14:textId="77777777" w:rsidTr="470D481D">
        <w:tc>
          <w:tcPr>
            <w:tcW w:w="520" w:type="dxa"/>
          </w:tcPr>
          <w:p w14:paraId="59906487" w14:textId="532BDA1D" w:rsidR="00D8172B" w:rsidRPr="00E2654A" w:rsidRDefault="004D40CB" w:rsidP="00D8172B">
            <w:pPr>
              <w:rPr>
                <w:rFonts w:cstheme="minorHAnsi"/>
                <w:color w:val="FF0000"/>
              </w:rPr>
            </w:pPr>
            <w:r w:rsidRPr="00E2654A">
              <w:rPr>
                <w:rFonts w:cstheme="minorHAnsi"/>
                <w:color w:val="FF0000"/>
              </w:rPr>
              <w:lastRenderedPageBreak/>
              <w:t>19</w:t>
            </w:r>
            <w:r w:rsidR="00D8172B" w:rsidRPr="00E2654A">
              <w:rPr>
                <w:rFonts w:cstheme="minorHAnsi"/>
                <w:color w:val="FF0000"/>
              </w:rPr>
              <w:t>.</w:t>
            </w:r>
          </w:p>
        </w:tc>
        <w:tc>
          <w:tcPr>
            <w:tcW w:w="2353" w:type="dxa"/>
          </w:tcPr>
          <w:p w14:paraId="136D666A" w14:textId="77777777" w:rsidR="00D8172B" w:rsidRPr="00E2654A" w:rsidRDefault="00D8172B" w:rsidP="00D8172B">
            <w:pPr>
              <w:rPr>
                <w:rFonts w:cstheme="minorHAnsi"/>
                <w:color w:val="FF0000"/>
              </w:rPr>
            </w:pPr>
            <w:r w:rsidRPr="00E2654A">
              <w:rPr>
                <w:rFonts w:cstheme="minorHAnsi"/>
                <w:color w:val="FF0000"/>
              </w:rPr>
              <w:t>Resource Implications:</w:t>
            </w:r>
          </w:p>
        </w:tc>
        <w:tc>
          <w:tcPr>
            <w:tcW w:w="6208" w:type="dxa"/>
            <w:gridSpan w:val="2"/>
          </w:tcPr>
          <w:p w14:paraId="206294BE" w14:textId="77777777" w:rsidR="00F74F6D" w:rsidRDefault="00EB16D7" w:rsidP="00A770ED">
            <w:pPr>
              <w:rPr>
                <w:rFonts w:cstheme="minorHAnsi"/>
              </w:rPr>
            </w:pPr>
            <w:r>
              <w:rPr>
                <w:rFonts w:cstheme="minorHAnsi"/>
              </w:rPr>
              <w:t xml:space="preserve">This programme will be a self-funding programme. </w:t>
            </w:r>
            <w:r w:rsidR="00A06A23">
              <w:rPr>
                <w:rFonts w:cstheme="minorHAnsi"/>
              </w:rPr>
              <w:t xml:space="preserve">  One additional assistant lecturer will be required </w:t>
            </w:r>
            <w:r w:rsidR="00AE3BDD">
              <w:rPr>
                <w:rFonts w:cstheme="minorHAnsi"/>
              </w:rPr>
              <w:t xml:space="preserve">in addition to costs associated with running practical laboratories and </w:t>
            </w:r>
            <w:r w:rsidR="008B6531">
              <w:rPr>
                <w:rFonts w:cstheme="minorHAnsi"/>
              </w:rPr>
              <w:t>administration.</w:t>
            </w:r>
          </w:p>
          <w:p w14:paraId="66FE9C0A" w14:textId="4B94A3F4" w:rsidR="008B6531" w:rsidRPr="00E2654A" w:rsidRDefault="008B6531" w:rsidP="00A770ED">
            <w:pPr>
              <w:rPr>
                <w:rFonts w:cstheme="minorHAnsi"/>
              </w:rPr>
            </w:pPr>
          </w:p>
        </w:tc>
      </w:tr>
      <w:tr w:rsidR="00D8172B" w:rsidRPr="00E2654A" w14:paraId="2E772138" w14:textId="77777777" w:rsidTr="470D481D">
        <w:tc>
          <w:tcPr>
            <w:tcW w:w="520" w:type="dxa"/>
          </w:tcPr>
          <w:p w14:paraId="4EB08153" w14:textId="51576659" w:rsidR="00D8172B" w:rsidRPr="00E2654A" w:rsidRDefault="00D8172B" w:rsidP="00D8172B">
            <w:pPr>
              <w:rPr>
                <w:rFonts w:cstheme="minorHAnsi"/>
                <w:color w:val="FF0000"/>
              </w:rPr>
            </w:pPr>
            <w:r w:rsidRPr="00E2654A">
              <w:rPr>
                <w:rFonts w:cstheme="minorHAnsi"/>
                <w:color w:val="FF0000"/>
              </w:rPr>
              <w:t>2</w:t>
            </w:r>
            <w:r w:rsidR="004D40CB" w:rsidRPr="00E2654A">
              <w:rPr>
                <w:rFonts w:cstheme="minorHAnsi"/>
                <w:color w:val="FF0000"/>
              </w:rPr>
              <w:t>0</w:t>
            </w:r>
            <w:r w:rsidRPr="00E2654A">
              <w:rPr>
                <w:rFonts w:cstheme="minorHAnsi"/>
                <w:color w:val="FF0000"/>
              </w:rPr>
              <w:t>.</w:t>
            </w:r>
          </w:p>
        </w:tc>
        <w:tc>
          <w:tcPr>
            <w:tcW w:w="2353" w:type="dxa"/>
          </w:tcPr>
          <w:p w14:paraId="645E1A07" w14:textId="77777777" w:rsidR="00D8172B" w:rsidRPr="00E2654A" w:rsidRDefault="00D8172B" w:rsidP="00D8172B">
            <w:pPr>
              <w:rPr>
                <w:rFonts w:cstheme="minorHAnsi"/>
                <w:color w:val="FF0000"/>
              </w:rPr>
            </w:pPr>
            <w:r w:rsidRPr="00E2654A">
              <w:rPr>
                <w:rFonts w:cstheme="minorHAnsi"/>
                <w:color w:val="FF0000"/>
              </w:rPr>
              <w:t>Synergies with Existing Programmes:</w:t>
            </w:r>
          </w:p>
        </w:tc>
        <w:tc>
          <w:tcPr>
            <w:tcW w:w="6208" w:type="dxa"/>
            <w:gridSpan w:val="2"/>
          </w:tcPr>
          <w:p w14:paraId="7E18D163" w14:textId="203A70A9" w:rsidR="00D8172B" w:rsidRPr="00E2654A" w:rsidRDefault="00DA76CB" w:rsidP="00D8172B">
            <w:pPr>
              <w:rPr>
                <w:rFonts w:cstheme="minorHAnsi"/>
              </w:rPr>
            </w:pPr>
            <w:r w:rsidRPr="00E2654A">
              <w:rPr>
                <w:rFonts w:cstheme="minorHAnsi"/>
              </w:rPr>
              <w:t>None.</w:t>
            </w:r>
          </w:p>
          <w:p w14:paraId="09196653" w14:textId="0C6E49FB" w:rsidR="00F74F6D" w:rsidRPr="00E2654A" w:rsidRDefault="00F74F6D" w:rsidP="00D8172B">
            <w:pPr>
              <w:rPr>
                <w:rFonts w:cstheme="minorHAnsi"/>
              </w:rPr>
            </w:pPr>
          </w:p>
        </w:tc>
      </w:tr>
      <w:tr w:rsidR="00530D72" w:rsidRPr="00E2654A" w14:paraId="75A35C54" w14:textId="77777777" w:rsidTr="470D481D">
        <w:trPr>
          <w:trHeight w:val="81"/>
        </w:trPr>
        <w:tc>
          <w:tcPr>
            <w:tcW w:w="520" w:type="dxa"/>
            <w:vMerge w:val="restart"/>
          </w:tcPr>
          <w:p w14:paraId="2B423B7C" w14:textId="559284EC" w:rsidR="00530D72" w:rsidRPr="00E2654A" w:rsidRDefault="00530D72" w:rsidP="00D8172B">
            <w:pPr>
              <w:rPr>
                <w:rFonts w:cstheme="minorHAnsi"/>
                <w:color w:val="FF0000"/>
              </w:rPr>
            </w:pPr>
            <w:r w:rsidRPr="00E2654A">
              <w:rPr>
                <w:rFonts w:cstheme="minorHAnsi"/>
                <w:color w:val="FF0000"/>
              </w:rPr>
              <w:t>21.</w:t>
            </w:r>
          </w:p>
        </w:tc>
        <w:tc>
          <w:tcPr>
            <w:tcW w:w="2353" w:type="dxa"/>
            <w:vMerge w:val="restart"/>
          </w:tcPr>
          <w:p w14:paraId="26F0CB3B" w14:textId="77777777" w:rsidR="00530D72" w:rsidRPr="00E2654A" w:rsidRDefault="00530D72" w:rsidP="00D8172B">
            <w:pPr>
              <w:rPr>
                <w:rFonts w:cstheme="minorHAnsi"/>
                <w:color w:val="FF0000"/>
              </w:rPr>
            </w:pPr>
            <w:r w:rsidRPr="00E2654A">
              <w:rPr>
                <w:rFonts w:cstheme="minorHAnsi"/>
                <w:color w:val="FF0000"/>
              </w:rPr>
              <w:t>Findings and Recommendations:</w:t>
            </w:r>
          </w:p>
        </w:tc>
        <w:tc>
          <w:tcPr>
            <w:tcW w:w="6208" w:type="dxa"/>
            <w:gridSpan w:val="2"/>
          </w:tcPr>
          <w:p w14:paraId="7EB15F56" w14:textId="77777777" w:rsidR="00530D72" w:rsidRPr="00E2654A" w:rsidRDefault="00530D72" w:rsidP="00D8172B">
            <w:pPr>
              <w:rPr>
                <w:rFonts w:cstheme="minorHAnsi"/>
                <w:color w:val="FF0000"/>
              </w:rPr>
            </w:pPr>
            <w:r w:rsidRPr="00E2654A">
              <w:rPr>
                <w:rFonts w:cstheme="minorHAnsi"/>
                <w:color w:val="FF0000"/>
              </w:rPr>
              <w:t>General:</w:t>
            </w:r>
          </w:p>
        </w:tc>
      </w:tr>
      <w:tr w:rsidR="000A7F9B" w:rsidRPr="00E2654A" w14:paraId="42C6FFE1" w14:textId="77777777" w:rsidTr="470D481D">
        <w:trPr>
          <w:trHeight w:val="79"/>
        </w:trPr>
        <w:tc>
          <w:tcPr>
            <w:tcW w:w="520" w:type="dxa"/>
            <w:vMerge/>
          </w:tcPr>
          <w:p w14:paraId="6223C2A5" w14:textId="77777777" w:rsidR="000A7F9B" w:rsidRPr="00E2654A" w:rsidRDefault="000A7F9B" w:rsidP="00E27660">
            <w:pPr>
              <w:rPr>
                <w:rFonts w:cstheme="minorHAnsi"/>
                <w:color w:val="FF0000"/>
              </w:rPr>
            </w:pPr>
          </w:p>
        </w:tc>
        <w:tc>
          <w:tcPr>
            <w:tcW w:w="2353" w:type="dxa"/>
            <w:vMerge/>
          </w:tcPr>
          <w:p w14:paraId="10EF1AD2" w14:textId="77777777" w:rsidR="000A7F9B" w:rsidRPr="00E2654A" w:rsidRDefault="000A7F9B" w:rsidP="00E27660">
            <w:pPr>
              <w:rPr>
                <w:rFonts w:cstheme="minorHAnsi"/>
                <w:color w:val="FF0000"/>
              </w:rPr>
            </w:pPr>
          </w:p>
        </w:tc>
        <w:tc>
          <w:tcPr>
            <w:tcW w:w="6208" w:type="dxa"/>
            <w:gridSpan w:val="2"/>
          </w:tcPr>
          <w:p w14:paraId="3F607BA7" w14:textId="2AB3AFC0" w:rsidR="000A7F9B" w:rsidRPr="00E2654A" w:rsidRDefault="000A7F9B" w:rsidP="000A7F9B">
            <w:pPr>
              <w:rPr>
                <w:rFonts w:cstheme="minorHAnsi"/>
              </w:rPr>
            </w:pPr>
            <w:r w:rsidRPr="00E2654A">
              <w:rPr>
                <w:rFonts w:cstheme="minorHAnsi"/>
              </w:rPr>
              <w:t>The panel approve the programmes with the commendations</w:t>
            </w:r>
            <w:r w:rsidR="002F724B" w:rsidRPr="00E2654A">
              <w:rPr>
                <w:rFonts w:cstheme="minorHAnsi"/>
              </w:rPr>
              <w:t xml:space="preserve"> </w:t>
            </w:r>
            <w:r w:rsidRPr="00E2654A">
              <w:rPr>
                <w:rFonts w:cstheme="minorHAnsi"/>
              </w:rPr>
              <w:t>listed below and subject to the following condition(s) and recommendation</w:t>
            </w:r>
            <w:r w:rsidR="009F2B8A" w:rsidRPr="00E2654A">
              <w:rPr>
                <w:rFonts w:cstheme="minorHAnsi"/>
              </w:rPr>
              <w:t>(</w:t>
            </w:r>
            <w:r w:rsidRPr="00E2654A">
              <w:rPr>
                <w:rFonts w:cstheme="minorHAnsi"/>
              </w:rPr>
              <w:t>s</w:t>
            </w:r>
            <w:r w:rsidR="009F2B8A" w:rsidRPr="00E2654A">
              <w:rPr>
                <w:rFonts w:cstheme="minorHAnsi"/>
              </w:rPr>
              <w:t>)</w:t>
            </w:r>
            <w:r w:rsidRPr="00E2654A">
              <w:rPr>
                <w:rFonts w:cstheme="minorHAnsi"/>
              </w:rPr>
              <w:t>:</w:t>
            </w:r>
          </w:p>
          <w:p w14:paraId="3FE4ACD3" w14:textId="77777777" w:rsidR="000A7F9B" w:rsidRPr="00E2654A" w:rsidRDefault="000A7F9B" w:rsidP="00E27660">
            <w:pPr>
              <w:rPr>
                <w:rFonts w:cstheme="minorHAnsi"/>
              </w:rPr>
            </w:pPr>
          </w:p>
        </w:tc>
      </w:tr>
      <w:tr w:rsidR="00E27660" w:rsidRPr="00E2654A" w14:paraId="0418A471" w14:textId="77777777" w:rsidTr="470D481D">
        <w:trPr>
          <w:trHeight w:val="79"/>
        </w:trPr>
        <w:tc>
          <w:tcPr>
            <w:tcW w:w="520" w:type="dxa"/>
            <w:vMerge/>
          </w:tcPr>
          <w:p w14:paraId="0D564D36" w14:textId="77777777" w:rsidR="00E27660" w:rsidRPr="00E2654A" w:rsidRDefault="00E27660" w:rsidP="00E27660">
            <w:pPr>
              <w:rPr>
                <w:rFonts w:cstheme="minorHAnsi"/>
                <w:color w:val="FF0000"/>
              </w:rPr>
            </w:pPr>
          </w:p>
        </w:tc>
        <w:tc>
          <w:tcPr>
            <w:tcW w:w="2353" w:type="dxa"/>
            <w:vMerge/>
          </w:tcPr>
          <w:p w14:paraId="42DCC657" w14:textId="77777777" w:rsidR="00E27660" w:rsidRPr="00E2654A" w:rsidRDefault="00E27660" w:rsidP="00E27660">
            <w:pPr>
              <w:rPr>
                <w:rFonts w:cstheme="minorHAnsi"/>
                <w:color w:val="FF0000"/>
              </w:rPr>
            </w:pPr>
          </w:p>
        </w:tc>
        <w:tc>
          <w:tcPr>
            <w:tcW w:w="6208" w:type="dxa"/>
            <w:gridSpan w:val="2"/>
          </w:tcPr>
          <w:p w14:paraId="2AB1DA83" w14:textId="37C88431" w:rsidR="00E27660" w:rsidRPr="00E2654A" w:rsidRDefault="000A7F9B" w:rsidP="00E27660">
            <w:pPr>
              <w:rPr>
                <w:rFonts w:cstheme="minorHAnsi"/>
              </w:rPr>
            </w:pPr>
            <w:r w:rsidRPr="00E2654A">
              <w:rPr>
                <w:rFonts w:cstheme="minorHAnsi"/>
                <w:color w:val="FF0000"/>
              </w:rPr>
              <w:t>Commendations:</w:t>
            </w:r>
          </w:p>
        </w:tc>
      </w:tr>
      <w:tr w:rsidR="00E27660" w:rsidRPr="00E2654A" w14:paraId="2DB88C61" w14:textId="77777777" w:rsidTr="470D481D">
        <w:trPr>
          <w:trHeight w:val="79"/>
        </w:trPr>
        <w:tc>
          <w:tcPr>
            <w:tcW w:w="520" w:type="dxa"/>
            <w:vMerge/>
          </w:tcPr>
          <w:p w14:paraId="1719E68C" w14:textId="77777777" w:rsidR="00E27660" w:rsidRPr="00E2654A" w:rsidRDefault="00E27660" w:rsidP="00E27660">
            <w:pPr>
              <w:rPr>
                <w:rFonts w:cstheme="minorHAnsi"/>
                <w:color w:val="FF0000"/>
              </w:rPr>
            </w:pPr>
          </w:p>
        </w:tc>
        <w:tc>
          <w:tcPr>
            <w:tcW w:w="2353" w:type="dxa"/>
            <w:vMerge/>
          </w:tcPr>
          <w:p w14:paraId="57AE4F37" w14:textId="77777777" w:rsidR="00E27660" w:rsidRPr="00E2654A" w:rsidRDefault="00E27660" w:rsidP="00E27660">
            <w:pPr>
              <w:rPr>
                <w:rFonts w:cstheme="minorHAnsi"/>
                <w:color w:val="FF0000"/>
              </w:rPr>
            </w:pPr>
          </w:p>
        </w:tc>
        <w:tc>
          <w:tcPr>
            <w:tcW w:w="6208" w:type="dxa"/>
            <w:gridSpan w:val="2"/>
          </w:tcPr>
          <w:p w14:paraId="33A2E572" w14:textId="77777777" w:rsidR="00A314A9" w:rsidRPr="00A314A9" w:rsidRDefault="00D604CD" w:rsidP="00A314A9">
            <w:pPr>
              <w:pStyle w:val="ListParagraph"/>
              <w:numPr>
                <w:ilvl w:val="0"/>
                <w:numId w:val="5"/>
              </w:numPr>
              <w:ind w:left="414"/>
              <w:rPr>
                <w:rFonts w:cstheme="minorHAnsi"/>
              </w:rPr>
            </w:pPr>
            <w:r w:rsidRPr="00A314A9">
              <w:rPr>
                <w:rFonts w:cstheme="minorHAnsi"/>
              </w:rPr>
              <w:t xml:space="preserve">The panel </w:t>
            </w:r>
            <w:r w:rsidR="00E447F4" w:rsidRPr="00A314A9">
              <w:rPr>
                <w:rFonts w:cstheme="minorHAnsi"/>
              </w:rPr>
              <w:t>acknowledges the</w:t>
            </w:r>
            <w:r w:rsidR="00A4613F" w:rsidRPr="00A314A9">
              <w:rPr>
                <w:rFonts w:cstheme="minorHAnsi"/>
              </w:rPr>
              <w:t xml:space="preserve"> engagement</w:t>
            </w:r>
            <w:r w:rsidR="00E447F4" w:rsidRPr="00A314A9">
              <w:rPr>
                <w:rFonts w:cstheme="minorHAnsi"/>
              </w:rPr>
              <w:t xml:space="preserve">, enthusiasm and knowledge of the proposing team and their positive </w:t>
            </w:r>
            <w:r w:rsidR="00A4613F" w:rsidRPr="00A314A9">
              <w:rPr>
                <w:rFonts w:cstheme="minorHAnsi"/>
              </w:rPr>
              <w:t xml:space="preserve">interaction during the validation.  </w:t>
            </w:r>
          </w:p>
          <w:p w14:paraId="1BB32F09" w14:textId="512AD34C" w:rsidR="00A314A9" w:rsidRPr="00F20773" w:rsidRDefault="00A4613F" w:rsidP="00A13F1C">
            <w:pPr>
              <w:pStyle w:val="ListParagraph"/>
              <w:numPr>
                <w:ilvl w:val="0"/>
                <w:numId w:val="5"/>
              </w:numPr>
              <w:ind w:left="414"/>
              <w:rPr>
                <w:rFonts w:cstheme="minorHAnsi"/>
              </w:rPr>
            </w:pPr>
            <w:r w:rsidRPr="00F20773">
              <w:rPr>
                <w:rFonts w:cstheme="minorHAnsi"/>
              </w:rPr>
              <w:t>The programme</w:t>
            </w:r>
            <w:r w:rsidR="00A314A9" w:rsidRPr="00F20773">
              <w:rPr>
                <w:rFonts w:cstheme="minorHAnsi"/>
              </w:rPr>
              <w:t xml:space="preserve"> is timely and </w:t>
            </w:r>
            <w:r w:rsidRPr="00F20773">
              <w:rPr>
                <w:rFonts w:cstheme="minorHAnsi"/>
              </w:rPr>
              <w:t xml:space="preserve">is meeting a clear industry need and will be a valuable addition to </w:t>
            </w:r>
            <w:r w:rsidR="00F20773" w:rsidRPr="00F20773">
              <w:rPr>
                <w:rFonts w:cstheme="minorHAnsi"/>
              </w:rPr>
              <w:t>the sector and the</w:t>
            </w:r>
            <w:r w:rsidRPr="00F20773">
              <w:rPr>
                <w:rFonts w:cstheme="minorHAnsi"/>
              </w:rPr>
              <w:t xml:space="preserve"> region. </w:t>
            </w:r>
          </w:p>
          <w:p w14:paraId="0FA7A6D9" w14:textId="6CFB77CA" w:rsidR="008859FD" w:rsidRPr="00E2654A" w:rsidRDefault="008859FD" w:rsidP="00E27660">
            <w:pPr>
              <w:rPr>
                <w:rFonts w:cstheme="minorHAnsi"/>
              </w:rPr>
            </w:pPr>
          </w:p>
        </w:tc>
      </w:tr>
      <w:tr w:rsidR="00E27660" w:rsidRPr="00E2654A" w14:paraId="2447E316" w14:textId="77777777" w:rsidTr="470D481D">
        <w:trPr>
          <w:trHeight w:val="79"/>
        </w:trPr>
        <w:tc>
          <w:tcPr>
            <w:tcW w:w="520" w:type="dxa"/>
            <w:vMerge/>
          </w:tcPr>
          <w:p w14:paraId="1BEE2BE6" w14:textId="77777777" w:rsidR="00E27660" w:rsidRPr="00E2654A" w:rsidRDefault="00E27660" w:rsidP="00E27660">
            <w:pPr>
              <w:rPr>
                <w:rFonts w:cstheme="minorHAnsi"/>
                <w:color w:val="FF0000"/>
              </w:rPr>
            </w:pPr>
          </w:p>
        </w:tc>
        <w:tc>
          <w:tcPr>
            <w:tcW w:w="2353" w:type="dxa"/>
            <w:vMerge/>
          </w:tcPr>
          <w:p w14:paraId="1B16D50C" w14:textId="77777777" w:rsidR="00E27660" w:rsidRPr="00E2654A" w:rsidRDefault="00E27660" w:rsidP="00E27660">
            <w:pPr>
              <w:rPr>
                <w:rFonts w:cstheme="minorHAnsi"/>
                <w:color w:val="FF0000"/>
              </w:rPr>
            </w:pPr>
          </w:p>
        </w:tc>
        <w:tc>
          <w:tcPr>
            <w:tcW w:w="6208" w:type="dxa"/>
            <w:gridSpan w:val="2"/>
          </w:tcPr>
          <w:p w14:paraId="55F7F391" w14:textId="6B17DE98" w:rsidR="00E27660" w:rsidRPr="00E2654A" w:rsidRDefault="00E27660" w:rsidP="00E27660">
            <w:pPr>
              <w:rPr>
                <w:rFonts w:cstheme="minorHAnsi"/>
              </w:rPr>
            </w:pPr>
            <w:r w:rsidRPr="00E2654A">
              <w:rPr>
                <w:rFonts w:cstheme="minorHAnsi"/>
                <w:color w:val="FF0000"/>
              </w:rPr>
              <w:t>Special conditions attaching to approval (if any):</w:t>
            </w:r>
          </w:p>
        </w:tc>
      </w:tr>
      <w:tr w:rsidR="00E27660" w:rsidRPr="00E2654A" w14:paraId="5DB4578A" w14:textId="77777777" w:rsidTr="008859FD">
        <w:trPr>
          <w:trHeight w:val="547"/>
        </w:trPr>
        <w:tc>
          <w:tcPr>
            <w:tcW w:w="520" w:type="dxa"/>
            <w:vMerge/>
          </w:tcPr>
          <w:p w14:paraId="74DF7B8F" w14:textId="77777777" w:rsidR="00E27660" w:rsidRPr="00E2654A" w:rsidRDefault="00E27660" w:rsidP="00E27660">
            <w:pPr>
              <w:rPr>
                <w:rFonts w:cstheme="minorHAnsi"/>
                <w:color w:val="FF0000"/>
              </w:rPr>
            </w:pPr>
          </w:p>
        </w:tc>
        <w:tc>
          <w:tcPr>
            <w:tcW w:w="2353" w:type="dxa"/>
            <w:vMerge/>
          </w:tcPr>
          <w:p w14:paraId="3C942279" w14:textId="77777777" w:rsidR="00E27660" w:rsidRPr="00E2654A" w:rsidRDefault="00E27660" w:rsidP="00E27660">
            <w:pPr>
              <w:rPr>
                <w:rFonts w:cstheme="minorHAnsi"/>
                <w:color w:val="FF0000"/>
              </w:rPr>
            </w:pPr>
          </w:p>
        </w:tc>
        <w:tc>
          <w:tcPr>
            <w:tcW w:w="6208" w:type="dxa"/>
            <w:gridSpan w:val="2"/>
          </w:tcPr>
          <w:p w14:paraId="7987784D" w14:textId="36EA429B" w:rsidR="00B3316B" w:rsidRDefault="00B3316B" w:rsidP="002250F9">
            <w:pPr>
              <w:pStyle w:val="ListParagraph"/>
              <w:numPr>
                <w:ilvl w:val="0"/>
                <w:numId w:val="3"/>
              </w:numPr>
              <w:ind w:left="414"/>
              <w:rPr>
                <w:rFonts w:cstheme="minorHAnsi"/>
              </w:rPr>
            </w:pPr>
            <w:r w:rsidRPr="00E2654A">
              <w:rPr>
                <w:rFonts w:cstheme="minorHAnsi"/>
              </w:rPr>
              <w:t>Review and consolidate the Programme Learning Outcomes, so that duplication is removed and the number</w:t>
            </w:r>
            <w:r w:rsidR="002250F9">
              <w:rPr>
                <w:rFonts w:cstheme="minorHAnsi"/>
              </w:rPr>
              <w:t xml:space="preserve"> of outcomes</w:t>
            </w:r>
            <w:r w:rsidRPr="00E2654A">
              <w:rPr>
                <w:rFonts w:cstheme="minorHAnsi"/>
              </w:rPr>
              <w:t xml:space="preserve"> is appropriate </w:t>
            </w:r>
            <w:r w:rsidR="002250F9">
              <w:rPr>
                <w:rFonts w:cstheme="minorHAnsi"/>
              </w:rPr>
              <w:t>for</w:t>
            </w:r>
            <w:r w:rsidRPr="00E2654A">
              <w:rPr>
                <w:rFonts w:cstheme="minorHAnsi"/>
              </w:rPr>
              <w:t xml:space="preserve"> a one stage programme. </w:t>
            </w:r>
          </w:p>
          <w:p w14:paraId="5AF12AB8" w14:textId="7A2CBC3F" w:rsidR="00E702D6" w:rsidRDefault="00E702D6" w:rsidP="002250F9">
            <w:pPr>
              <w:pStyle w:val="ListParagraph"/>
              <w:numPr>
                <w:ilvl w:val="0"/>
                <w:numId w:val="3"/>
              </w:numPr>
              <w:ind w:left="414"/>
              <w:rPr>
                <w:rFonts w:cstheme="minorHAnsi"/>
              </w:rPr>
            </w:pPr>
            <w:r>
              <w:rPr>
                <w:rFonts w:cstheme="minorHAnsi"/>
              </w:rPr>
              <w:t xml:space="preserve">Revise the title of </w:t>
            </w:r>
            <w:r w:rsidR="002250F9">
              <w:rPr>
                <w:rFonts w:cstheme="minorHAnsi"/>
              </w:rPr>
              <w:t xml:space="preserve">the </w:t>
            </w:r>
            <w:r w:rsidR="007A788D" w:rsidRPr="00E2654A">
              <w:rPr>
                <w:rFonts w:cstheme="minorHAnsi"/>
              </w:rPr>
              <w:t>Design of Experiments</w:t>
            </w:r>
            <w:r w:rsidR="007A788D">
              <w:rPr>
                <w:rFonts w:cstheme="minorHAnsi"/>
              </w:rPr>
              <w:t xml:space="preserve"> </w:t>
            </w:r>
            <w:r>
              <w:rPr>
                <w:rFonts w:cstheme="minorHAnsi"/>
              </w:rPr>
              <w:t xml:space="preserve">module to ensure that it reflects the </w:t>
            </w:r>
            <w:r w:rsidR="002250F9">
              <w:rPr>
                <w:rFonts w:cstheme="minorHAnsi"/>
              </w:rPr>
              <w:t xml:space="preserve">module’s </w:t>
            </w:r>
            <w:r>
              <w:rPr>
                <w:rFonts w:cstheme="minorHAnsi"/>
              </w:rPr>
              <w:t xml:space="preserve">content.  </w:t>
            </w:r>
          </w:p>
          <w:p w14:paraId="213EBCA4" w14:textId="5B72F178" w:rsidR="001C6330" w:rsidRDefault="001C6330" w:rsidP="001C6330">
            <w:pPr>
              <w:rPr>
                <w:rFonts w:cstheme="minorHAnsi"/>
              </w:rPr>
            </w:pPr>
          </w:p>
          <w:p w14:paraId="63A67BE8" w14:textId="04EC6207" w:rsidR="001C6330" w:rsidRDefault="001C6330" w:rsidP="001C6330">
            <w:pPr>
              <w:rPr>
                <w:rFonts w:cstheme="minorHAnsi"/>
              </w:rPr>
            </w:pPr>
          </w:p>
          <w:p w14:paraId="7B796BD9" w14:textId="029D1397" w:rsidR="001C6330" w:rsidRDefault="001C6330" w:rsidP="001C6330">
            <w:pPr>
              <w:rPr>
                <w:rFonts w:cstheme="minorHAnsi"/>
              </w:rPr>
            </w:pPr>
          </w:p>
          <w:p w14:paraId="5F054020" w14:textId="6779F546" w:rsidR="009D1017" w:rsidRDefault="009D1017" w:rsidP="001C6330">
            <w:pPr>
              <w:rPr>
                <w:rFonts w:cstheme="minorHAnsi"/>
              </w:rPr>
            </w:pPr>
          </w:p>
          <w:p w14:paraId="4CC3739E" w14:textId="77777777" w:rsidR="009D1017" w:rsidRDefault="009D1017" w:rsidP="001C6330">
            <w:pPr>
              <w:rPr>
                <w:rFonts w:cstheme="minorHAnsi"/>
              </w:rPr>
            </w:pPr>
          </w:p>
          <w:p w14:paraId="27C35DC7" w14:textId="0CF17609" w:rsidR="001C6330" w:rsidRDefault="001C6330" w:rsidP="001C6330">
            <w:pPr>
              <w:rPr>
                <w:rFonts w:cstheme="minorHAnsi"/>
              </w:rPr>
            </w:pPr>
          </w:p>
          <w:p w14:paraId="2649E979" w14:textId="7C8E9541" w:rsidR="001C6330" w:rsidRDefault="001C6330" w:rsidP="001C6330">
            <w:pPr>
              <w:rPr>
                <w:rFonts w:cstheme="minorHAnsi"/>
              </w:rPr>
            </w:pPr>
          </w:p>
          <w:p w14:paraId="0500D7B4" w14:textId="77777777" w:rsidR="001C6330" w:rsidRPr="001C6330" w:rsidRDefault="001C6330" w:rsidP="001C6330">
            <w:pPr>
              <w:rPr>
                <w:rFonts w:cstheme="minorHAnsi"/>
              </w:rPr>
            </w:pPr>
          </w:p>
          <w:p w14:paraId="05BA663F" w14:textId="77777777" w:rsidR="00E702D6" w:rsidRPr="00E2654A" w:rsidRDefault="00E702D6" w:rsidP="007A788D">
            <w:pPr>
              <w:pStyle w:val="ListParagraph"/>
              <w:rPr>
                <w:rFonts w:cstheme="minorHAnsi"/>
              </w:rPr>
            </w:pPr>
          </w:p>
          <w:p w14:paraId="584B5979" w14:textId="4D48C7D2" w:rsidR="00E27660" w:rsidRPr="00E2654A" w:rsidRDefault="00E27660" w:rsidP="00E27660">
            <w:pPr>
              <w:rPr>
                <w:rFonts w:cstheme="minorHAnsi"/>
              </w:rPr>
            </w:pPr>
          </w:p>
        </w:tc>
      </w:tr>
      <w:tr w:rsidR="00E27660" w:rsidRPr="00E2654A" w14:paraId="21181075" w14:textId="77777777" w:rsidTr="470D481D">
        <w:trPr>
          <w:trHeight w:val="79"/>
        </w:trPr>
        <w:tc>
          <w:tcPr>
            <w:tcW w:w="520" w:type="dxa"/>
            <w:vMerge/>
          </w:tcPr>
          <w:p w14:paraId="6A8F2824" w14:textId="77777777" w:rsidR="00E27660" w:rsidRPr="00E2654A" w:rsidRDefault="00E27660" w:rsidP="00E27660">
            <w:pPr>
              <w:rPr>
                <w:rFonts w:cstheme="minorHAnsi"/>
                <w:color w:val="FF0000"/>
              </w:rPr>
            </w:pPr>
          </w:p>
        </w:tc>
        <w:tc>
          <w:tcPr>
            <w:tcW w:w="2353" w:type="dxa"/>
            <w:vMerge/>
          </w:tcPr>
          <w:p w14:paraId="1103D335" w14:textId="77777777" w:rsidR="00E27660" w:rsidRPr="00E2654A" w:rsidRDefault="00E27660" w:rsidP="00E27660">
            <w:pPr>
              <w:rPr>
                <w:rFonts w:cstheme="minorHAnsi"/>
                <w:color w:val="FF0000"/>
              </w:rPr>
            </w:pPr>
          </w:p>
        </w:tc>
        <w:tc>
          <w:tcPr>
            <w:tcW w:w="6208" w:type="dxa"/>
            <w:gridSpan w:val="2"/>
          </w:tcPr>
          <w:p w14:paraId="5ACA61D5" w14:textId="77777777" w:rsidR="00E27660" w:rsidRPr="00E2654A" w:rsidRDefault="00E27660" w:rsidP="00E27660">
            <w:pPr>
              <w:rPr>
                <w:rFonts w:cstheme="minorHAnsi"/>
              </w:rPr>
            </w:pPr>
            <w:r w:rsidRPr="00E2654A">
              <w:rPr>
                <w:rFonts w:cstheme="minorHAnsi"/>
                <w:color w:val="FF0000"/>
              </w:rPr>
              <w:t>Recommendations of the panel in relation to award sought:</w:t>
            </w:r>
          </w:p>
        </w:tc>
      </w:tr>
      <w:tr w:rsidR="00500E27" w:rsidRPr="00E2654A" w14:paraId="09775D11" w14:textId="77777777" w:rsidTr="00A0167F">
        <w:trPr>
          <w:trHeight w:val="6049"/>
        </w:trPr>
        <w:tc>
          <w:tcPr>
            <w:tcW w:w="520" w:type="dxa"/>
            <w:vMerge/>
          </w:tcPr>
          <w:p w14:paraId="333C1772" w14:textId="77777777" w:rsidR="00E27660" w:rsidRPr="00E2654A" w:rsidRDefault="00E27660" w:rsidP="00E27660">
            <w:pPr>
              <w:rPr>
                <w:rFonts w:cstheme="minorHAnsi"/>
                <w:color w:val="FF0000"/>
              </w:rPr>
            </w:pPr>
          </w:p>
        </w:tc>
        <w:tc>
          <w:tcPr>
            <w:tcW w:w="2353" w:type="dxa"/>
            <w:vMerge/>
          </w:tcPr>
          <w:p w14:paraId="235C3A12" w14:textId="77777777" w:rsidR="00E27660" w:rsidRPr="00E2654A" w:rsidRDefault="00E27660" w:rsidP="00E27660">
            <w:pPr>
              <w:rPr>
                <w:rFonts w:cstheme="minorHAnsi"/>
                <w:color w:val="FF0000"/>
              </w:rPr>
            </w:pPr>
          </w:p>
        </w:tc>
        <w:tc>
          <w:tcPr>
            <w:tcW w:w="6208" w:type="dxa"/>
            <w:gridSpan w:val="2"/>
          </w:tcPr>
          <w:p w14:paraId="00C3B10B" w14:textId="77777777" w:rsidR="00671033" w:rsidRPr="00E2654A" w:rsidRDefault="00671033" w:rsidP="00064FBE">
            <w:pPr>
              <w:pStyle w:val="ListParagraph"/>
              <w:numPr>
                <w:ilvl w:val="0"/>
                <w:numId w:val="6"/>
              </w:numPr>
              <w:ind w:left="414"/>
              <w:rPr>
                <w:rFonts w:cstheme="minorHAnsi"/>
              </w:rPr>
            </w:pPr>
            <w:r w:rsidRPr="00E2654A">
              <w:rPr>
                <w:rFonts w:cstheme="minorHAnsi"/>
              </w:rPr>
              <w:t xml:space="preserve">Specify how diverse class cohorts with differing academic and experiential backgrounds will be </w:t>
            </w:r>
            <w:r>
              <w:rPr>
                <w:rFonts w:cstheme="minorHAnsi"/>
              </w:rPr>
              <w:t>integrated</w:t>
            </w:r>
            <w:r w:rsidRPr="00E2654A">
              <w:rPr>
                <w:rFonts w:cstheme="minorHAnsi"/>
              </w:rPr>
              <w:t xml:space="preserve"> with emphasis on how bridging will be provided, if required.</w:t>
            </w:r>
          </w:p>
          <w:p w14:paraId="42DED7BB" w14:textId="276054A3" w:rsidR="00EF424F" w:rsidRDefault="00B44C06" w:rsidP="00064FBE">
            <w:pPr>
              <w:pStyle w:val="ListParagraph"/>
              <w:numPr>
                <w:ilvl w:val="0"/>
                <w:numId w:val="6"/>
              </w:numPr>
              <w:ind w:left="418"/>
              <w:rPr>
                <w:rFonts w:cstheme="minorHAnsi"/>
              </w:rPr>
            </w:pPr>
            <w:r>
              <w:rPr>
                <w:rFonts w:cstheme="minorHAnsi"/>
              </w:rPr>
              <w:t xml:space="preserve">Define clearly plans for </w:t>
            </w:r>
            <w:r w:rsidR="00EF424F">
              <w:rPr>
                <w:rFonts w:cstheme="minorHAnsi"/>
              </w:rPr>
              <w:t xml:space="preserve">graduates of this programme to progress their studies </w:t>
            </w:r>
            <w:r w:rsidR="00D30E9D">
              <w:rPr>
                <w:rFonts w:cstheme="minorHAnsi"/>
              </w:rPr>
              <w:t>i.e. describe the relationship</w:t>
            </w:r>
            <w:r w:rsidR="00BE1B90">
              <w:rPr>
                <w:rFonts w:cstheme="minorHAnsi"/>
              </w:rPr>
              <w:t xml:space="preserve"> between this programme and any proposed </w:t>
            </w:r>
            <w:r w:rsidR="00EF424F">
              <w:rPr>
                <w:rFonts w:cstheme="minorHAnsi"/>
              </w:rPr>
              <w:t>masters programme.</w:t>
            </w:r>
          </w:p>
          <w:p w14:paraId="3E6E408A" w14:textId="2ED4FB41" w:rsidR="00B025A6" w:rsidRPr="00E2654A" w:rsidRDefault="00B025A6" w:rsidP="00064FBE">
            <w:pPr>
              <w:pStyle w:val="ListParagraph"/>
              <w:numPr>
                <w:ilvl w:val="0"/>
                <w:numId w:val="6"/>
              </w:numPr>
              <w:ind w:left="418"/>
              <w:rPr>
                <w:rFonts w:cstheme="minorHAnsi"/>
              </w:rPr>
            </w:pPr>
            <w:r w:rsidRPr="00E2654A">
              <w:rPr>
                <w:rFonts w:cstheme="minorHAnsi"/>
              </w:rPr>
              <w:t>Outline how industry will be involved in delivery of the programme</w:t>
            </w:r>
            <w:r w:rsidR="00C352D3" w:rsidRPr="00E2654A">
              <w:rPr>
                <w:rFonts w:cstheme="minorHAnsi"/>
              </w:rPr>
              <w:t xml:space="preserve"> to enhance the applied nature of the programme and pr</w:t>
            </w:r>
            <w:r w:rsidR="00661AF8" w:rsidRPr="00E2654A">
              <w:rPr>
                <w:rFonts w:cstheme="minorHAnsi"/>
              </w:rPr>
              <w:t>ovide students with insights into various career options and in</w:t>
            </w:r>
            <w:r w:rsidR="00F016C7" w:rsidRPr="00E2654A">
              <w:rPr>
                <w:rFonts w:cstheme="minorHAnsi"/>
              </w:rPr>
              <w:t>dustries.</w:t>
            </w:r>
          </w:p>
          <w:p w14:paraId="73A2EA00" w14:textId="48A31255" w:rsidR="0050767F" w:rsidRDefault="0050767F" w:rsidP="00064FBE">
            <w:pPr>
              <w:pStyle w:val="ListParagraph"/>
              <w:numPr>
                <w:ilvl w:val="0"/>
                <w:numId w:val="6"/>
              </w:numPr>
              <w:ind w:left="418"/>
              <w:rPr>
                <w:rFonts w:cstheme="minorHAnsi"/>
              </w:rPr>
            </w:pPr>
            <w:r w:rsidRPr="00E2654A">
              <w:rPr>
                <w:rFonts w:cstheme="minorHAnsi"/>
              </w:rPr>
              <w:t xml:space="preserve">Clearly articulate the </w:t>
            </w:r>
            <w:r w:rsidR="00E03225" w:rsidRPr="00E2654A">
              <w:rPr>
                <w:rFonts w:cstheme="minorHAnsi"/>
              </w:rPr>
              <w:t>contingency plans which will be put in place should onsite practicals not be feasible</w:t>
            </w:r>
            <w:r w:rsidR="00D42547">
              <w:rPr>
                <w:rFonts w:cstheme="minorHAnsi"/>
              </w:rPr>
              <w:t xml:space="preserve"> due to the current pandemic</w:t>
            </w:r>
            <w:r w:rsidR="00E03225" w:rsidRPr="00E2654A">
              <w:rPr>
                <w:rFonts w:cstheme="minorHAnsi"/>
              </w:rPr>
              <w:t xml:space="preserve">. </w:t>
            </w:r>
          </w:p>
          <w:p w14:paraId="027B9225" w14:textId="3DE23B8F" w:rsidR="00B7116C" w:rsidRPr="00E2654A" w:rsidRDefault="00B7116C" w:rsidP="00064FBE">
            <w:pPr>
              <w:pStyle w:val="ListParagraph"/>
              <w:numPr>
                <w:ilvl w:val="0"/>
                <w:numId w:val="6"/>
              </w:numPr>
              <w:ind w:left="418"/>
              <w:rPr>
                <w:rFonts w:cstheme="minorHAnsi"/>
              </w:rPr>
            </w:pPr>
            <w:r>
              <w:rPr>
                <w:rFonts w:cstheme="minorHAnsi"/>
              </w:rPr>
              <w:t>Review the wording of module learning outcomes to ensure that they reflect higher order learning outcomes such as synthesis and evaluation</w:t>
            </w:r>
            <w:r w:rsidR="009F552F">
              <w:rPr>
                <w:rFonts w:cstheme="minorHAnsi"/>
              </w:rPr>
              <w:t xml:space="preserve"> in all instances</w:t>
            </w:r>
            <w:r>
              <w:rPr>
                <w:rFonts w:cstheme="minorHAnsi"/>
              </w:rPr>
              <w:t xml:space="preserve">.  </w:t>
            </w:r>
          </w:p>
          <w:p w14:paraId="74589A65" w14:textId="23A7BA13" w:rsidR="00DF391F" w:rsidRPr="00E2654A" w:rsidRDefault="00DF391F" w:rsidP="00DF391F">
            <w:pPr>
              <w:rPr>
                <w:rFonts w:cstheme="minorHAnsi"/>
              </w:rPr>
            </w:pPr>
            <w:r w:rsidRPr="00E2654A">
              <w:rPr>
                <w:rFonts w:cstheme="minorHAnsi"/>
              </w:rPr>
              <w:t>Individual Modules:</w:t>
            </w:r>
          </w:p>
          <w:p w14:paraId="62F83A70" w14:textId="4F346EF3" w:rsidR="00DF391F" w:rsidRPr="00E2654A" w:rsidRDefault="00323E27" w:rsidP="00064FBE">
            <w:pPr>
              <w:pStyle w:val="ListParagraph"/>
              <w:numPr>
                <w:ilvl w:val="0"/>
                <w:numId w:val="6"/>
              </w:numPr>
              <w:ind w:left="418"/>
              <w:rPr>
                <w:rFonts w:cstheme="minorHAnsi"/>
              </w:rPr>
            </w:pPr>
            <w:r w:rsidRPr="00E2654A">
              <w:rPr>
                <w:rFonts w:cstheme="minorHAnsi"/>
              </w:rPr>
              <w:t xml:space="preserve">Research Project:  Enhance the clarity in the </w:t>
            </w:r>
            <w:r w:rsidR="009F552F">
              <w:rPr>
                <w:rFonts w:cstheme="minorHAnsi"/>
              </w:rPr>
              <w:t xml:space="preserve">module </w:t>
            </w:r>
            <w:r w:rsidRPr="00E2654A">
              <w:rPr>
                <w:rFonts w:cstheme="minorHAnsi"/>
              </w:rPr>
              <w:t>des</w:t>
            </w:r>
            <w:r w:rsidR="00A27459" w:rsidRPr="00E2654A">
              <w:rPr>
                <w:rFonts w:cstheme="minorHAnsi"/>
              </w:rPr>
              <w:t xml:space="preserve">criptor around the output of the project, </w:t>
            </w:r>
            <w:r w:rsidR="00912DA9">
              <w:rPr>
                <w:rFonts w:cstheme="minorHAnsi"/>
              </w:rPr>
              <w:t xml:space="preserve">the </w:t>
            </w:r>
            <w:r w:rsidR="00913B0E">
              <w:rPr>
                <w:rFonts w:cstheme="minorHAnsi"/>
              </w:rPr>
              <w:t xml:space="preserve">thesis word count, </w:t>
            </w:r>
            <w:r w:rsidR="00A27459" w:rsidRPr="00E2654A">
              <w:rPr>
                <w:rFonts w:cstheme="minorHAnsi"/>
              </w:rPr>
              <w:t xml:space="preserve">the project process </w:t>
            </w:r>
            <w:r w:rsidR="00EB1CF1">
              <w:rPr>
                <w:rFonts w:cstheme="minorHAnsi"/>
              </w:rPr>
              <w:t xml:space="preserve">and potential </w:t>
            </w:r>
            <w:r w:rsidR="004E5F47">
              <w:rPr>
                <w:rFonts w:cstheme="minorHAnsi"/>
              </w:rPr>
              <w:t xml:space="preserve">for </w:t>
            </w:r>
            <w:r w:rsidR="009D7167" w:rsidRPr="00E2654A">
              <w:rPr>
                <w:rFonts w:cstheme="minorHAnsi"/>
              </w:rPr>
              <w:t>industry involvement</w:t>
            </w:r>
            <w:r w:rsidR="00DB7877" w:rsidRPr="00E2654A">
              <w:rPr>
                <w:rFonts w:cstheme="minorHAnsi"/>
              </w:rPr>
              <w:t>.  Consider the s</w:t>
            </w:r>
            <w:r w:rsidRPr="00E2654A">
              <w:rPr>
                <w:rFonts w:cstheme="minorHAnsi"/>
              </w:rPr>
              <w:t>upport</w:t>
            </w:r>
            <w:r w:rsidR="00DB7877" w:rsidRPr="00E2654A">
              <w:rPr>
                <w:rFonts w:cstheme="minorHAnsi"/>
              </w:rPr>
              <w:t>s that may be required</w:t>
            </w:r>
            <w:r w:rsidRPr="00E2654A">
              <w:rPr>
                <w:rFonts w:cstheme="minorHAnsi"/>
              </w:rPr>
              <w:t xml:space="preserve"> for students who are not working in a relevant industry</w:t>
            </w:r>
            <w:r w:rsidR="009F552F">
              <w:rPr>
                <w:rFonts w:cstheme="minorHAnsi"/>
              </w:rPr>
              <w:t xml:space="preserve"> to complete this module</w:t>
            </w:r>
            <w:r w:rsidRPr="00E2654A">
              <w:rPr>
                <w:rFonts w:cstheme="minorHAnsi"/>
              </w:rPr>
              <w:t>.</w:t>
            </w:r>
            <w:r w:rsidR="00A82977">
              <w:rPr>
                <w:rFonts w:cstheme="minorHAnsi"/>
              </w:rPr>
              <w:t xml:space="preserve">  Ensure that </w:t>
            </w:r>
            <w:r w:rsidR="00E54EDF">
              <w:rPr>
                <w:rFonts w:cstheme="minorHAnsi"/>
              </w:rPr>
              <w:t xml:space="preserve">the supervision hours are in line with Institute norms and recorded in a way which is clear to the reader. </w:t>
            </w:r>
          </w:p>
          <w:p w14:paraId="79615526" w14:textId="2AAF69C4" w:rsidR="00CB1B7C" w:rsidRPr="00E2654A" w:rsidRDefault="0082257A" w:rsidP="00064FBE">
            <w:pPr>
              <w:pStyle w:val="ListParagraph"/>
              <w:numPr>
                <w:ilvl w:val="0"/>
                <w:numId w:val="6"/>
              </w:numPr>
              <w:ind w:left="418"/>
              <w:rPr>
                <w:rFonts w:cstheme="minorHAnsi"/>
              </w:rPr>
            </w:pPr>
            <w:r w:rsidRPr="00E2654A">
              <w:rPr>
                <w:rFonts w:cstheme="minorHAnsi"/>
              </w:rPr>
              <w:t>Biopharmaceutical Manufacturing</w:t>
            </w:r>
            <w:r w:rsidR="009F552F">
              <w:rPr>
                <w:rFonts w:cstheme="minorHAnsi"/>
              </w:rPr>
              <w:t xml:space="preserve">: </w:t>
            </w:r>
            <w:r w:rsidR="008B41FC" w:rsidRPr="00E2654A">
              <w:rPr>
                <w:rFonts w:cstheme="minorHAnsi"/>
              </w:rPr>
              <w:t xml:space="preserve"> </w:t>
            </w:r>
            <w:r w:rsidR="00254F3F">
              <w:rPr>
                <w:rFonts w:cstheme="minorHAnsi"/>
              </w:rPr>
              <w:t xml:space="preserve">Ensure that the </w:t>
            </w:r>
            <w:r w:rsidR="008B41FC" w:rsidRPr="00E2654A">
              <w:rPr>
                <w:rFonts w:cstheme="minorHAnsi"/>
              </w:rPr>
              <w:t xml:space="preserve">NIBIRT </w:t>
            </w:r>
            <w:r w:rsidR="008D30ED">
              <w:rPr>
                <w:rFonts w:cstheme="minorHAnsi"/>
              </w:rPr>
              <w:t>p</w:t>
            </w:r>
            <w:r w:rsidR="008B41FC" w:rsidRPr="00E2654A">
              <w:rPr>
                <w:rFonts w:cstheme="minorHAnsi"/>
              </w:rPr>
              <w:t xml:space="preserve">ractical </w:t>
            </w:r>
            <w:r w:rsidR="008D30ED">
              <w:rPr>
                <w:rFonts w:cstheme="minorHAnsi"/>
              </w:rPr>
              <w:t xml:space="preserve">experience </w:t>
            </w:r>
            <w:r w:rsidR="00D729C9">
              <w:rPr>
                <w:rFonts w:cstheme="minorHAnsi"/>
              </w:rPr>
              <w:t>for</w:t>
            </w:r>
            <w:r w:rsidR="008B41FC" w:rsidRPr="00E2654A">
              <w:rPr>
                <w:rFonts w:cstheme="minorHAnsi"/>
              </w:rPr>
              <w:t xml:space="preserve"> </w:t>
            </w:r>
            <w:r w:rsidR="00D729C9">
              <w:rPr>
                <w:rFonts w:cstheme="minorHAnsi"/>
              </w:rPr>
              <w:t xml:space="preserve">this cohort of </w:t>
            </w:r>
            <w:r w:rsidR="008B41FC" w:rsidRPr="00E2654A">
              <w:rPr>
                <w:rFonts w:cstheme="minorHAnsi"/>
              </w:rPr>
              <w:t>students</w:t>
            </w:r>
            <w:r w:rsidR="00D729C9">
              <w:rPr>
                <w:rFonts w:cstheme="minorHAnsi"/>
              </w:rPr>
              <w:t xml:space="preserve"> is differentiated from that </w:t>
            </w:r>
            <w:r w:rsidR="008D30ED">
              <w:rPr>
                <w:rFonts w:cstheme="minorHAnsi"/>
              </w:rPr>
              <w:t>provided to the</w:t>
            </w:r>
            <w:r w:rsidR="00D729C9">
              <w:rPr>
                <w:rFonts w:cstheme="minorHAnsi"/>
              </w:rPr>
              <w:t xml:space="preserve"> undergraduate students.</w:t>
            </w:r>
            <w:r w:rsidR="00FD0EB9" w:rsidRPr="00E2654A">
              <w:rPr>
                <w:rFonts w:cstheme="minorHAnsi"/>
              </w:rPr>
              <w:t xml:space="preserve">  </w:t>
            </w:r>
          </w:p>
          <w:p w14:paraId="4D393578" w14:textId="26793D60" w:rsidR="00476AA4" w:rsidRDefault="0082257A" w:rsidP="00064FBE">
            <w:pPr>
              <w:pStyle w:val="ListParagraph"/>
              <w:numPr>
                <w:ilvl w:val="0"/>
                <w:numId w:val="6"/>
              </w:numPr>
              <w:ind w:left="418"/>
              <w:rPr>
                <w:rFonts w:cstheme="minorHAnsi"/>
              </w:rPr>
            </w:pPr>
            <w:r w:rsidRPr="00E2654A">
              <w:rPr>
                <w:rFonts w:cstheme="minorHAnsi"/>
              </w:rPr>
              <w:t>Quality Management Systems &amp; Regulatory Affairs</w:t>
            </w:r>
            <w:r w:rsidR="002C7F0C" w:rsidRPr="00E2654A">
              <w:rPr>
                <w:rFonts w:cstheme="minorHAnsi"/>
              </w:rPr>
              <w:t xml:space="preserve">: </w:t>
            </w:r>
            <w:r w:rsidR="009F552F">
              <w:rPr>
                <w:rFonts w:cstheme="minorHAnsi"/>
              </w:rPr>
              <w:t xml:space="preserve"> </w:t>
            </w:r>
            <w:r w:rsidR="00345E24">
              <w:rPr>
                <w:rFonts w:cstheme="minorHAnsi"/>
              </w:rPr>
              <w:t xml:space="preserve">Include </w:t>
            </w:r>
            <w:r w:rsidR="00E515D4">
              <w:rPr>
                <w:rFonts w:cstheme="minorHAnsi"/>
              </w:rPr>
              <w:t xml:space="preserve">the National Regulator, </w:t>
            </w:r>
            <w:r w:rsidR="00345E24">
              <w:rPr>
                <w:rFonts w:cstheme="minorHAnsi"/>
              </w:rPr>
              <w:t xml:space="preserve">EDQM </w:t>
            </w:r>
            <w:r w:rsidR="00476AA4">
              <w:rPr>
                <w:rFonts w:cstheme="minorHAnsi"/>
              </w:rPr>
              <w:t xml:space="preserve">and pharmacovigilance </w:t>
            </w:r>
            <w:r w:rsidR="00345E24">
              <w:rPr>
                <w:rFonts w:cstheme="minorHAnsi"/>
              </w:rPr>
              <w:t>in the syllabus.</w:t>
            </w:r>
          </w:p>
          <w:p w14:paraId="4DF500BD" w14:textId="7B7CEFC9" w:rsidR="008109AE" w:rsidRPr="00653B77" w:rsidRDefault="00694935" w:rsidP="00064FBE">
            <w:pPr>
              <w:pStyle w:val="ListParagraph"/>
              <w:numPr>
                <w:ilvl w:val="0"/>
                <w:numId w:val="6"/>
              </w:numPr>
              <w:ind w:left="418"/>
              <w:rPr>
                <w:rFonts w:cstheme="minorHAnsi"/>
              </w:rPr>
            </w:pPr>
            <w:r w:rsidRPr="00476AA4">
              <w:rPr>
                <w:rFonts w:cstheme="minorHAnsi"/>
              </w:rPr>
              <w:t>Applied Immunology, Immunotherapeutics &amp; Vaccine Technology</w:t>
            </w:r>
            <w:r w:rsidR="002C7F0C" w:rsidRPr="00476AA4">
              <w:rPr>
                <w:rFonts w:cstheme="minorHAnsi"/>
              </w:rPr>
              <w:t xml:space="preserve">: </w:t>
            </w:r>
            <w:r w:rsidR="008109AE" w:rsidRPr="00476AA4">
              <w:rPr>
                <w:rFonts w:cstheme="minorHAnsi"/>
              </w:rPr>
              <w:t xml:space="preserve"> </w:t>
            </w:r>
            <w:r w:rsidR="007A5800">
              <w:rPr>
                <w:rFonts w:cstheme="minorHAnsi"/>
              </w:rPr>
              <w:t>The panel considers</w:t>
            </w:r>
            <w:r w:rsidR="008109AE" w:rsidRPr="00476AA4">
              <w:rPr>
                <w:rFonts w:cstheme="minorHAnsi"/>
              </w:rPr>
              <w:t xml:space="preserve"> the volume of content</w:t>
            </w:r>
            <w:r w:rsidR="005409FF">
              <w:rPr>
                <w:rFonts w:cstheme="minorHAnsi"/>
              </w:rPr>
              <w:t xml:space="preserve"> </w:t>
            </w:r>
            <w:r w:rsidR="007A5800">
              <w:rPr>
                <w:rFonts w:cstheme="minorHAnsi"/>
              </w:rPr>
              <w:t>will be difficult to achiev</w:t>
            </w:r>
            <w:r w:rsidR="008422F3">
              <w:rPr>
                <w:rFonts w:cstheme="minorHAnsi"/>
              </w:rPr>
              <w:t>e</w:t>
            </w:r>
            <w:r w:rsidR="00653B77">
              <w:rPr>
                <w:rFonts w:cstheme="minorHAnsi"/>
              </w:rPr>
              <w:t>.  The content is significant given the m</w:t>
            </w:r>
            <w:r w:rsidR="005409FF" w:rsidRPr="00653B77">
              <w:rPr>
                <w:rFonts w:cstheme="minorHAnsi"/>
              </w:rPr>
              <w:t xml:space="preserve">odule’s ECTS weighting and </w:t>
            </w:r>
            <w:r w:rsidR="00653B77">
              <w:rPr>
                <w:rFonts w:cstheme="minorHAnsi"/>
              </w:rPr>
              <w:t xml:space="preserve">will </w:t>
            </w:r>
            <w:r w:rsidR="00EE09D3">
              <w:rPr>
                <w:rFonts w:cstheme="minorHAnsi"/>
              </w:rPr>
              <w:t xml:space="preserve">be </w:t>
            </w:r>
            <w:r w:rsidR="00653B77">
              <w:rPr>
                <w:rFonts w:cstheme="minorHAnsi"/>
              </w:rPr>
              <w:t>challenging for students to complete i</w:t>
            </w:r>
            <w:r w:rsidR="008109AE" w:rsidRPr="00653B77">
              <w:rPr>
                <w:rFonts w:cstheme="minorHAnsi"/>
              </w:rPr>
              <w:t>n the time availabl</w:t>
            </w:r>
            <w:r w:rsidR="004B1FFA" w:rsidRPr="00653B77">
              <w:rPr>
                <w:rFonts w:cstheme="minorHAnsi"/>
              </w:rPr>
              <w:t>e</w:t>
            </w:r>
            <w:r w:rsidR="005409FF" w:rsidRPr="00653B77">
              <w:rPr>
                <w:rFonts w:cstheme="minorHAnsi"/>
              </w:rPr>
              <w:t xml:space="preserve">.  Consider whether the content can be streamlined and/or </w:t>
            </w:r>
            <w:r w:rsidR="004B1FFA" w:rsidRPr="00653B77">
              <w:rPr>
                <w:rFonts w:cstheme="minorHAnsi"/>
              </w:rPr>
              <w:t>whether additional contact hours may be warranted.</w:t>
            </w:r>
          </w:p>
          <w:p w14:paraId="0A75E3FB" w14:textId="77777777" w:rsidR="00C86690" w:rsidRDefault="00C86690" w:rsidP="00064FBE">
            <w:pPr>
              <w:pStyle w:val="ListParagraph"/>
              <w:numPr>
                <w:ilvl w:val="0"/>
                <w:numId w:val="6"/>
              </w:numPr>
              <w:ind w:left="418"/>
              <w:rPr>
                <w:rFonts w:cstheme="minorHAnsi"/>
              </w:rPr>
            </w:pPr>
            <w:r w:rsidRPr="00E2654A">
              <w:rPr>
                <w:rFonts w:cstheme="minorHAnsi"/>
              </w:rPr>
              <w:t>Validation for Biopharmaceuticals</w:t>
            </w:r>
            <w:r w:rsidR="002C7F0C" w:rsidRPr="00E2654A">
              <w:rPr>
                <w:rFonts w:cstheme="minorHAnsi"/>
              </w:rPr>
              <w:t xml:space="preserve">: </w:t>
            </w:r>
            <w:r w:rsidR="00FF7920">
              <w:rPr>
                <w:rFonts w:cstheme="minorHAnsi"/>
              </w:rPr>
              <w:t>Review the module assessment strategy with a view to ensuring that s</w:t>
            </w:r>
            <w:r w:rsidR="00C562D3">
              <w:rPr>
                <w:rFonts w:cstheme="minorHAnsi"/>
              </w:rPr>
              <w:t xml:space="preserve">tudents are </w:t>
            </w:r>
            <w:r w:rsidR="00287640">
              <w:rPr>
                <w:rFonts w:cstheme="minorHAnsi"/>
              </w:rPr>
              <w:t xml:space="preserve">not </w:t>
            </w:r>
            <w:r w:rsidR="00C562D3">
              <w:rPr>
                <w:rFonts w:cstheme="minorHAnsi"/>
              </w:rPr>
              <w:t>being over assessed</w:t>
            </w:r>
            <w:r w:rsidR="00287640">
              <w:rPr>
                <w:rFonts w:cstheme="minorHAnsi"/>
              </w:rPr>
              <w:t>.</w:t>
            </w:r>
          </w:p>
          <w:p w14:paraId="182CCB13" w14:textId="051825FC" w:rsidR="001C6330" w:rsidRPr="00E2654A" w:rsidRDefault="001C6330" w:rsidP="001C6330">
            <w:pPr>
              <w:pStyle w:val="ListParagraph"/>
              <w:ind w:left="418"/>
              <w:rPr>
                <w:rFonts w:cstheme="minorHAnsi"/>
              </w:rPr>
            </w:pPr>
          </w:p>
        </w:tc>
      </w:tr>
      <w:tr w:rsidR="00E27660" w:rsidRPr="00E2654A" w14:paraId="164EF27A" w14:textId="77777777" w:rsidTr="470D481D">
        <w:trPr>
          <w:trHeight w:val="53"/>
        </w:trPr>
        <w:tc>
          <w:tcPr>
            <w:tcW w:w="520" w:type="dxa"/>
            <w:vMerge w:val="restart"/>
          </w:tcPr>
          <w:p w14:paraId="575BA7CD" w14:textId="3C1A5002" w:rsidR="00E27660" w:rsidRPr="00E2654A" w:rsidRDefault="00E27660" w:rsidP="00E27660">
            <w:pPr>
              <w:rPr>
                <w:rFonts w:cstheme="minorHAnsi"/>
              </w:rPr>
            </w:pPr>
            <w:r w:rsidRPr="00E2654A">
              <w:rPr>
                <w:rFonts w:cstheme="minorHAnsi"/>
                <w:color w:val="FF0000"/>
              </w:rPr>
              <w:t>22.</w:t>
            </w:r>
          </w:p>
        </w:tc>
        <w:tc>
          <w:tcPr>
            <w:tcW w:w="2353" w:type="dxa"/>
            <w:vMerge w:val="restart"/>
          </w:tcPr>
          <w:p w14:paraId="7241390A" w14:textId="587C31EB" w:rsidR="00E27660" w:rsidRPr="00E2654A" w:rsidRDefault="00E27660" w:rsidP="00E27660">
            <w:pPr>
              <w:rPr>
                <w:rFonts w:cstheme="minorHAnsi"/>
              </w:rPr>
            </w:pPr>
            <w:r w:rsidRPr="00E2654A">
              <w:rPr>
                <w:rFonts w:cstheme="minorHAnsi"/>
                <w:color w:val="FF0000"/>
              </w:rPr>
              <w:t>FAO: Academic Council:</w:t>
            </w:r>
          </w:p>
        </w:tc>
        <w:tc>
          <w:tcPr>
            <w:tcW w:w="3619" w:type="dxa"/>
          </w:tcPr>
          <w:p w14:paraId="4B361F1B" w14:textId="77777777" w:rsidR="00E27660" w:rsidRPr="00E2654A" w:rsidRDefault="00E27660" w:rsidP="00E27660">
            <w:pPr>
              <w:rPr>
                <w:rFonts w:cstheme="minorHAnsi"/>
                <w:color w:val="FF0000"/>
              </w:rPr>
            </w:pPr>
            <w:r w:rsidRPr="00E2654A">
              <w:rPr>
                <w:rFonts w:cstheme="minorHAnsi"/>
                <w:color w:val="FF0000"/>
              </w:rPr>
              <w:t>Approved:</w:t>
            </w:r>
          </w:p>
        </w:tc>
        <w:tc>
          <w:tcPr>
            <w:tcW w:w="2589" w:type="dxa"/>
          </w:tcPr>
          <w:p w14:paraId="76542CFE" w14:textId="77777777" w:rsidR="00E27660" w:rsidRPr="00E2654A" w:rsidRDefault="00E27660" w:rsidP="00E27660">
            <w:pPr>
              <w:rPr>
                <w:rFonts w:cstheme="minorHAnsi"/>
              </w:rPr>
            </w:pPr>
          </w:p>
        </w:tc>
      </w:tr>
      <w:tr w:rsidR="00E27660" w:rsidRPr="00E2654A" w14:paraId="40931D11" w14:textId="77777777" w:rsidTr="470D481D">
        <w:trPr>
          <w:trHeight w:val="53"/>
        </w:trPr>
        <w:tc>
          <w:tcPr>
            <w:tcW w:w="520" w:type="dxa"/>
            <w:vMerge/>
          </w:tcPr>
          <w:p w14:paraId="6DB902DE" w14:textId="77777777" w:rsidR="00E27660" w:rsidRPr="00E2654A" w:rsidRDefault="00E27660" w:rsidP="00E27660">
            <w:pPr>
              <w:rPr>
                <w:rFonts w:cstheme="minorHAnsi"/>
              </w:rPr>
            </w:pPr>
          </w:p>
        </w:tc>
        <w:tc>
          <w:tcPr>
            <w:tcW w:w="2353" w:type="dxa"/>
            <w:vMerge/>
          </w:tcPr>
          <w:p w14:paraId="6DAFE29A" w14:textId="77777777" w:rsidR="00E27660" w:rsidRPr="00E2654A" w:rsidRDefault="00E27660" w:rsidP="00E27660">
            <w:pPr>
              <w:rPr>
                <w:rFonts w:cstheme="minorHAnsi"/>
              </w:rPr>
            </w:pPr>
          </w:p>
        </w:tc>
        <w:tc>
          <w:tcPr>
            <w:tcW w:w="3619" w:type="dxa"/>
          </w:tcPr>
          <w:p w14:paraId="0F9513C7" w14:textId="77777777" w:rsidR="00E27660" w:rsidRPr="00E2654A" w:rsidRDefault="00E27660" w:rsidP="00E27660">
            <w:pPr>
              <w:rPr>
                <w:rFonts w:cstheme="minorHAnsi"/>
                <w:color w:val="FF0000"/>
              </w:rPr>
            </w:pPr>
            <w:r w:rsidRPr="00E2654A">
              <w:rPr>
                <w:rFonts w:cstheme="minorHAnsi"/>
                <w:color w:val="FF0000"/>
              </w:rPr>
              <w:t>Approved subject to recommended changes:</w:t>
            </w:r>
          </w:p>
        </w:tc>
        <w:tc>
          <w:tcPr>
            <w:tcW w:w="2589" w:type="dxa"/>
          </w:tcPr>
          <w:p w14:paraId="65246712" w14:textId="1849815F" w:rsidR="00E27660" w:rsidRPr="00E2654A" w:rsidRDefault="00E27660" w:rsidP="00E27660">
            <w:pPr>
              <w:rPr>
                <w:rFonts w:cstheme="minorHAnsi"/>
              </w:rPr>
            </w:pPr>
            <w:r w:rsidRPr="00E2654A">
              <w:rPr>
                <w:rFonts w:cstheme="minorHAnsi"/>
              </w:rPr>
              <w:t>X</w:t>
            </w:r>
          </w:p>
        </w:tc>
      </w:tr>
      <w:tr w:rsidR="00E27660" w:rsidRPr="00E2654A" w14:paraId="18F1ABBF" w14:textId="77777777" w:rsidTr="470D481D">
        <w:trPr>
          <w:trHeight w:val="53"/>
        </w:trPr>
        <w:tc>
          <w:tcPr>
            <w:tcW w:w="520" w:type="dxa"/>
            <w:vMerge/>
          </w:tcPr>
          <w:p w14:paraId="66CEF4DB" w14:textId="77777777" w:rsidR="00E27660" w:rsidRPr="00E2654A" w:rsidRDefault="00E27660" w:rsidP="00E27660">
            <w:pPr>
              <w:rPr>
                <w:rFonts w:cstheme="minorHAnsi"/>
              </w:rPr>
            </w:pPr>
          </w:p>
        </w:tc>
        <w:tc>
          <w:tcPr>
            <w:tcW w:w="2353" w:type="dxa"/>
            <w:vMerge/>
          </w:tcPr>
          <w:p w14:paraId="2C94740A" w14:textId="77777777" w:rsidR="00E27660" w:rsidRPr="00E2654A" w:rsidRDefault="00E27660" w:rsidP="00E27660">
            <w:pPr>
              <w:rPr>
                <w:rFonts w:cstheme="minorHAnsi"/>
              </w:rPr>
            </w:pPr>
          </w:p>
        </w:tc>
        <w:tc>
          <w:tcPr>
            <w:tcW w:w="3619" w:type="dxa"/>
          </w:tcPr>
          <w:p w14:paraId="56346E7C" w14:textId="77777777" w:rsidR="00E27660" w:rsidRPr="00E2654A" w:rsidRDefault="00E27660" w:rsidP="00E27660">
            <w:pPr>
              <w:rPr>
                <w:rFonts w:cstheme="minorHAnsi"/>
                <w:color w:val="FF0000"/>
              </w:rPr>
            </w:pPr>
            <w:r w:rsidRPr="00E2654A">
              <w:rPr>
                <w:rFonts w:cstheme="minorHAnsi"/>
                <w:color w:val="FF0000"/>
              </w:rPr>
              <w:t>Not approved at this time:</w:t>
            </w:r>
          </w:p>
        </w:tc>
        <w:tc>
          <w:tcPr>
            <w:tcW w:w="2589" w:type="dxa"/>
          </w:tcPr>
          <w:p w14:paraId="347F767F" w14:textId="77777777" w:rsidR="00E27660" w:rsidRPr="00E2654A" w:rsidRDefault="00E27660" w:rsidP="00E27660">
            <w:pPr>
              <w:rPr>
                <w:rFonts w:cstheme="minorHAnsi"/>
              </w:rPr>
            </w:pPr>
          </w:p>
        </w:tc>
      </w:tr>
      <w:tr w:rsidR="00E27660" w:rsidRPr="00E2654A" w14:paraId="15D03CE6" w14:textId="77777777" w:rsidTr="470D481D">
        <w:tc>
          <w:tcPr>
            <w:tcW w:w="520" w:type="dxa"/>
          </w:tcPr>
          <w:p w14:paraId="1837B6B7" w14:textId="77777777" w:rsidR="00E27660" w:rsidRPr="00E2654A" w:rsidRDefault="00E27660" w:rsidP="00E27660">
            <w:pPr>
              <w:rPr>
                <w:rFonts w:cstheme="minorHAnsi"/>
              </w:rPr>
            </w:pPr>
          </w:p>
        </w:tc>
        <w:tc>
          <w:tcPr>
            <w:tcW w:w="2353" w:type="dxa"/>
          </w:tcPr>
          <w:p w14:paraId="2C693DF5" w14:textId="30066E09" w:rsidR="00E27660" w:rsidRPr="00E2654A" w:rsidRDefault="00E27660" w:rsidP="00E27660">
            <w:pPr>
              <w:rPr>
                <w:rFonts w:cstheme="minorHAnsi"/>
              </w:rPr>
            </w:pPr>
            <w:r w:rsidRPr="00E2654A">
              <w:rPr>
                <w:rFonts w:cstheme="minorHAnsi"/>
                <w:color w:val="FF0000"/>
              </w:rPr>
              <w:t>Signed:</w:t>
            </w:r>
          </w:p>
        </w:tc>
        <w:tc>
          <w:tcPr>
            <w:tcW w:w="3619" w:type="dxa"/>
          </w:tcPr>
          <w:p w14:paraId="69FF133C" w14:textId="77777777" w:rsidR="00E27660" w:rsidRPr="00E2654A" w:rsidRDefault="00E27660" w:rsidP="00E27660">
            <w:pPr>
              <w:rPr>
                <w:rFonts w:cstheme="minorHAnsi"/>
              </w:rPr>
            </w:pPr>
          </w:p>
          <w:p w14:paraId="7991D962" w14:textId="77777777" w:rsidR="00E27660" w:rsidRPr="00E2654A" w:rsidRDefault="00E27660" w:rsidP="00E27660">
            <w:pPr>
              <w:rPr>
                <w:rFonts w:cstheme="minorHAnsi"/>
              </w:rPr>
            </w:pPr>
          </w:p>
        </w:tc>
        <w:tc>
          <w:tcPr>
            <w:tcW w:w="2589" w:type="dxa"/>
          </w:tcPr>
          <w:p w14:paraId="6B4D76B7" w14:textId="77777777" w:rsidR="00E27660" w:rsidRPr="00E2654A" w:rsidRDefault="00E27660" w:rsidP="00E27660">
            <w:pPr>
              <w:rPr>
                <w:rFonts w:cstheme="minorHAnsi"/>
              </w:rPr>
            </w:pPr>
          </w:p>
        </w:tc>
      </w:tr>
      <w:tr w:rsidR="00E27660" w:rsidRPr="00E2654A" w14:paraId="11A93162" w14:textId="77777777" w:rsidTr="470D481D">
        <w:tc>
          <w:tcPr>
            <w:tcW w:w="520" w:type="dxa"/>
          </w:tcPr>
          <w:p w14:paraId="70BD051D" w14:textId="77777777" w:rsidR="00E27660" w:rsidRPr="00E2654A" w:rsidRDefault="00E27660" w:rsidP="00E27660">
            <w:pPr>
              <w:rPr>
                <w:rFonts w:cstheme="minorHAnsi"/>
              </w:rPr>
            </w:pPr>
          </w:p>
        </w:tc>
        <w:tc>
          <w:tcPr>
            <w:tcW w:w="2353" w:type="dxa"/>
          </w:tcPr>
          <w:p w14:paraId="1E7A2744" w14:textId="77777777" w:rsidR="00E27660" w:rsidRPr="00E2654A" w:rsidRDefault="00E27660" w:rsidP="00E27660">
            <w:pPr>
              <w:rPr>
                <w:rFonts w:cstheme="minorHAnsi"/>
              </w:rPr>
            </w:pPr>
          </w:p>
        </w:tc>
        <w:tc>
          <w:tcPr>
            <w:tcW w:w="3619" w:type="dxa"/>
          </w:tcPr>
          <w:p w14:paraId="4F412DC0" w14:textId="77777777" w:rsidR="00E27660" w:rsidRPr="00E2654A" w:rsidRDefault="00E27660" w:rsidP="00E27660">
            <w:pPr>
              <w:rPr>
                <w:rFonts w:cstheme="minorHAnsi"/>
                <w:color w:val="FF0000"/>
              </w:rPr>
            </w:pPr>
            <w:r w:rsidRPr="00E2654A">
              <w:rPr>
                <w:rFonts w:cstheme="minorHAnsi"/>
                <w:color w:val="FF0000"/>
              </w:rPr>
              <w:t>Chair</w:t>
            </w:r>
          </w:p>
        </w:tc>
        <w:tc>
          <w:tcPr>
            <w:tcW w:w="2589" w:type="dxa"/>
          </w:tcPr>
          <w:p w14:paraId="1284F49F" w14:textId="77777777" w:rsidR="00E27660" w:rsidRPr="00E2654A" w:rsidRDefault="00E27660" w:rsidP="00E27660">
            <w:pPr>
              <w:rPr>
                <w:rFonts w:cstheme="minorHAnsi"/>
                <w:color w:val="FF0000"/>
              </w:rPr>
            </w:pPr>
            <w:r w:rsidRPr="00E2654A">
              <w:rPr>
                <w:rFonts w:cstheme="minorHAnsi"/>
                <w:color w:val="FF0000"/>
              </w:rPr>
              <w:t>Secretary</w:t>
            </w:r>
          </w:p>
        </w:tc>
      </w:tr>
    </w:tbl>
    <w:p w14:paraId="27D9F76B" w14:textId="6FF586B4" w:rsidR="007D26C9" w:rsidRDefault="007D26C9" w:rsidP="008859FD">
      <w:pPr>
        <w:spacing w:after="0"/>
        <w:rPr>
          <w:rFonts w:cstheme="minorHAnsi"/>
          <w:sz w:val="24"/>
          <w:szCs w:val="24"/>
        </w:rPr>
      </w:pPr>
    </w:p>
    <w:sectPr w:rsidR="007D2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865"/>
    <w:multiLevelType w:val="hybridMultilevel"/>
    <w:tmpl w:val="2BDC01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480BBE"/>
    <w:multiLevelType w:val="hybridMultilevel"/>
    <w:tmpl w:val="2DC43C64"/>
    <w:lvl w:ilvl="0" w:tplc="E6E09C8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772F5E"/>
    <w:multiLevelType w:val="hybridMultilevel"/>
    <w:tmpl w:val="D1FAF8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4A1423"/>
    <w:multiLevelType w:val="hybridMultilevel"/>
    <w:tmpl w:val="F3C6B454"/>
    <w:lvl w:ilvl="0" w:tplc="E6E09C8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9B0630A"/>
    <w:multiLevelType w:val="hybridMultilevel"/>
    <w:tmpl w:val="78D89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4E05D8"/>
    <w:multiLevelType w:val="hybridMultilevel"/>
    <w:tmpl w:val="F3C6B454"/>
    <w:lvl w:ilvl="0" w:tplc="E6E09C8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E8"/>
    <w:rsid w:val="00013A12"/>
    <w:rsid w:val="00060ED3"/>
    <w:rsid w:val="00064FBE"/>
    <w:rsid w:val="000836DA"/>
    <w:rsid w:val="000A4A2A"/>
    <w:rsid w:val="000A4C34"/>
    <w:rsid w:val="000A52C9"/>
    <w:rsid w:val="000A7F9B"/>
    <w:rsid w:val="000E025A"/>
    <w:rsid w:val="00123A09"/>
    <w:rsid w:val="00142C66"/>
    <w:rsid w:val="001550C9"/>
    <w:rsid w:val="00155AFE"/>
    <w:rsid w:val="00157A64"/>
    <w:rsid w:val="001741A1"/>
    <w:rsid w:val="00183664"/>
    <w:rsid w:val="001850AA"/>
    <w:rsid w:val="001868E4"/>
    <w:rsid w:val="00194F78"/>
    <w:rsid w:val="001C6330"/>
    <w:rsid w:val="001D3AD6"/>
    <w:rsid w:val="001E1815"/>
    <w:rsid w:val="001E2131"/>
    <w:rsid w:val="00214EC7"/>
    <w:rsid w:val="002250F9"/>
    <w:rsid w:val="002337EF"/>
    <w:rsid w:val="002410A2"/>
    <w:rsid w:val="00244E07"/>
    <w:rsid w:val="002474B5"/>
    <w:rsid w:val="0025490E"/>
    <w:rsid w:val="00254F3F"/>
    <w:rsid w:val="00282712"/>
    <w:rsid w:val="00287640"/>
    <w:rsid w:val="002B2149"/>
    <w:rsid w:val="002B5809"/>
    <w:rsid w:val="002C7F0C"/>
    <w:rsid w:val="002F724B"/>
    <w:rsid w:val="00305514"/>
    <w:rsid w:val="0030632A"/>
    <w:rsid w:val="00320140"/>
    <w:rsid w:val="00323E27"/>
    <w:rsid w:val="00335439"/>
    <w:rsid w:val="00344251"/>
    <w:rsid w:val="00345E24"/>
    <w:rsid w:val="00374580"/>
    <w:rsid w:val="00393FB3"/>
    <w:rsid w:val="003A023E"/>
    <w:rsid w:val="003A2CE8"/>
    <w:rsid w:val="003A49A8"/>
    <w:rsid w:val="003A724A"/>
    <w:rsid w:val="003B743D"/>
    <w:rsid w:val="003C660C"/>
    <w:rsid w:val="003D281B"/>
    <w:rsid w:val="003D31C9"/>
    <w:rsid w:val="003D6C78"/>
    <w:rsid w:val="003E68CD"/>
    <w:rsid w:val="00401787"/>
    <w:rsid w:val="0042773D"/>
    <w:rsid w:val="00431270"/>
    <w:rsid w:val="00434410"/>
    <w:rsid w:val="004531AE"/>
    <w:rsid w:val="00454441"/>
    <w:rsid w:val="004757BE"/>
    <w:rsid w:val="00476AA4"/>
    <w:rsid w:val="00493A7F"/>
    <w:rsid w:val="0049761B"/>
    <w:rsid w:val="004B1FFA"/>
    <w:rsid w:val="004B6F91"/>
    <w:rsid w:val="004C00F6"/>
    <w:rsid w:val="004D1860"/>
    <w:rsid w:val="004D40CB"/>
    <w:rsid w:val="004E5F47"/>
    <w:rsid w:val="004F48CC"/>
    <w:rsid w:val="00500E27"/>
    <w:rsid w:val="00503CEC"/>
    <w:rsid w:val="0050767F"/>
    <w:rsid w:val="00530D72"/>
    <w:rsid w:val="005409FF"/>
    <w:rsid w:val="00550F2E"/>
    <w:rsid w:val="0057080B"/>
    <w:rsid w:val="00587383"/>
    <w:rsid w:val="005A1F2B"/>
    <w:rsid w:val="005A2EF9"/>
    <w:rsid w:val="005C7043"/>
    <w:rsid w:val="005E0A28"/>
    <w:rsid w:val="005E0D30"/>
    <w:rsid w:val="005E1EC0"/>
    <w:rsid w:val="005F6C7A"/>
    <w:rsid w:val="00601983"/>
    <w:rsid w:val="0061774F"/>
    <w:rsid w:val="00624C6B"/>
    <w:rsid w:val="00633BB0"/>
    <w:rsid w:val="00641A9D"/>
    <w:rsid w:val="00643960"/>
    <w:rsid w:val="00653B77"/>
    <w:rsid w:val="0065728D"/>
    <w:rsid w:val="00661AF8"/>
    <w:rsid w:val="00662E14"/>
    <w:rsid w:val="00671033"/>
    <w:rsid w:val="00673A8C"/>
    <w:rsid w:val="006811DA"/>
    <w:rsid w:val="00694935"/>
    <w:rsid w:val="006B3D55"/>
    <w:rsid w:val="006C0D37"/>
    <w:rsid w:val="006C39AF"/>
    <w:rsid w:val="007029DE"/>
    <w:rsid w:val="00702A08"/>
    <w:rsid w:val="00720305"/>
    <w:rsid w:val="00720D6F"/>
    <w:rsid w:val="00727AD4"/>
    <w:rsid w:val="0073361C"/>
    <w:rsid w:val="00771019"/>
    <w:rsid w:val="00771D29"/>
    <w:rsid w:val="007773EC"/>
    <w:rsid w:val="007905CE"/>
    <w:rsid w:val="00791CFE"/>
    <w:rsid w:val="007A5800"/>
    <w:rsid w:val="007A6939"/>
    <w:rsid w:val="007A788D"/>
    <w:rsid w:val="007D12AD"/>
    <w:rsid w:val="007D26C9"/>
    <w:rsid w:val="007E0403"/>
    <w:rsid w:val="007F48C6"/>
    <w:rsid w:val="00807CDD"/>
    <w:rsid w:val="008109AE"/>
    <w:rsid w:val="0082257A"/>
    <w:rsid w:val="008400F2"/>
    <w:rsid w:val="008422F3"/>
    <w:rsid w:val="00842D9D"/>
    <w:rsid w:val="0084406F"/>
    <w:rsid w:val="00846A2B"/>
    <w:rsid w:val="00872369"/>
    <w:rsid w:val="008750CB"/>
    <w:rsid w:val="00881093"/>
    <w:rsid w:val="008859FD"/>
    <w:rsid w:val="00885B9E"/>
    <w:rsid w:val="008B41FC"/>
    <w:rsid w:val="008B6531"/>
    <w:rsid w:val="008D30ED"/>
    <w:rsid w:val="008E7D01"/>
    <w:rsid w:val="008F7F30"/>
    <w:rsid w:val="009069A5"/>
    <w:rsid w:val="00906FE1"/>
    <w:rsid w:val="00912DA9"/>
    <w:rsid w:val="00913B0E"/>
    <w:rsid w:val="00913BB2"/>
    <w:rsid w:val="00917404"/>
    <w:rsid w:val="009408D6"/>
    <w:rsid w:val="00952FE0"/>
    <w:rsid w:val="009630C0"/>
    <w:rsid w:val="009721C6"/>
    <w:rsid w:val="00972EBE"/>
    <w:rsid w:val="009769B2"/>
    <w:rsid w:val="00982E96"/>
    <w:rsid w:val="00983415"/>
    <w:rsid w:val="009A1190"/>
    <w:rsid w:val="009A2A4D"/>
    <w:rsid w:val="009C06B9"/>
    <w:rsid w:val="009C5750"/>
    <w:rsid w:val="009D1017"/>
    <w:rsid w:val="009D3C93"/>
    <w:rsid w:val="009D7167"/>
    <w:rsid w:val="009F2B8A"/>
    <w:rsid w:val="009F552F"/>
    <w:rsid w:val="00A06A23"/>
    <w:rsid w:val="00A07EBE"/>
    <w:rsid w:val="00A27459"/>
    <w:rsid w:val="00A314A9"/>
    <w:rsid w:val="00A35CE0"/>
    <w:rsid w:val="00A36FFC"/>
    <w:rsid w:val="00A40BA2"/>
    <w:rsid w:val="00A41420"/>
    <w:rsid w:val="00A4613F"/>
    <w:rsid w:val="00A70CDB"/>
    <w:rsid w:val="00A770ED"/>
    <w:rsid w:val="00A77893"/>
    <w:rsid w:val="00A77B8E"/>
    <w:rsid w:val="00A805A3"/>
    <w:rsid w:val="00A82977"/>
    <w:rsid w:val="00A950D8"/>
    <w:rsid w:val="00AB25C1"/>
    <w:rsid w:val="00AB7751"/>
    <w:rsid w:val="00AE3BDD"/>
    <w:rsid w:val="00AE4202"/>
    <w:rsid w:val="00AE7A43"/>
    <w:rsid w:val="00AF124B"/>
    <w:rsid w:val="00AF7768"/>
    <w:rsid w:val="00B025A6"/>
    <w:rsid w:val="00B313EB"/>
    <w:rsid w:val="00B3316B"/>
    <w:rsid w:val="00B437E4"/>
    <w:rsid w:val="00B44C06"/>
    <w:rsid w:val="00B54A97"/>
    <w:rsid w:val="00B5719C"/>
    <w:rsid w:val="00B7116C"/>
    <w:rsid w:val="00B7130C"/>
    <w:rsid w:val="00B716D2"/>
    <w:rsid w:val="00B74417"/>
    <w:rsid w:val="00B774ED"/>
    <w:rsid w:val="00B843C9"/>
    <w:rsid w:val="00B90357"/>
    <w:rsid w:val="00B9067A"/>
    <w:rsid w:val="00B90E1F"/>
    <w:rsid w:val="00B96C04"/>
    <w:rsid w:val="00BB3B2B"/>
    <w:rsid w:val="00BB664A"/>
    <w:rsid w:val="00BC5098"/>
    <w:rsid w:val="00BC578A"/>
    <w:rsid w:val="00BD12A7"/>
    <w:rsid w:val="00BE1B90"/>
    <w:rsid w:val="00BE680C"/>
    <w:rsid w:val="00BF2245"/>
    <w:rsid w:val="00BF5A65"/>
    <w:rsid w:val="00C13F76"/>
    <w:rsid w:val="00C144E6"/>
    <w:rsid w:val="00C349E8"/>
    <w:rsid w:val="00C352D3"/>
    <w:rsid w:val="00C401F7"/>
    <w:rsid w:val="00C42500"/>
    <w:rsid w:val="00C562D3"/>
    <w:rsid w:val="00C56964"/>
    <w:rsid w:val="00C574BE"/>
    <w:rsid w:val="00C600EF"/>
    <w:rsid w:val="00C62349"/>
    <w:rsid w:val="00C76167"/>
    <w:rsid w:val="00C82CBD"/>
    <w:rsid w:val="00C86690"/>
    <w:rsid w:val="00C945C6"/>
    <w:rsid w:val="00C946D7"/>
    <w:rsid w:val="00C96485"/>
    <w:rsid w:val="00CA177A"/>
    <w:rsid w:val="00CB1B7C"/>
    <w:rsid w:val="00CD0C6E"/>
    <w:rsid w:val="00CE1587"/>
    <w:rsid w:val="00CE524F"/>
    <w:rsid w:val="00CF29B9"/>
    <w:rsid w:val="00D00408"/>
    <w:rsid w:val="00D00471"/>
    <w:rsid w:val="00D06ECC"/>
    <w:rsid w:val="00D3086A"/>
    <w:rsid w:val="00D30E9D"/>
    <w:rsid w:val="00D369A7"/>
    <w:rsid w:val="00D42547"/>
    <w:rsid w:val="00D51192"/>
    <w:rsid w:val="00D604CD"/>
    <w:rsid w:val="00D729C9"/>
    <w:rsid w:val="00D8172B"/>
    <w:rsid w:val="00D92243"/>
    <w:rsid w:val="00DA270B"/>
    <w:rsid w:val="00DA76CB"/>
    <w:rsid w:val="00DB7877"/>
    <w:rsid w:val="00DD1F24"/>
    <w:rsid w:val="00DF391F"/>
    <w:rsid w:val="00E03225"/>
    <w:rsid w:val="00E069EA"/>
    <w:rsid w:val="00E21D2A"/>
    <w:rsid w:val="00E240B0"/>
    <w:rsid w:val="00E249E2"/>
    <w:rsid w:val="00E2654A"/>
    <w:rsid w:val="00E27660"/>
    <w:rsid w:val="00E447F4"/>
    <w:rsid w:val="00E44DB9"/>
    <w:rsid w:val="00E47ADB"/>
    <w:rsid w:val="00E515D4"/>
    <w:rsid w:val="00E54EDF"/>
    <w:rsid w:val="00E702D6"/>
    <w:rsid w:val="00E718ED"/>
    <w:rsid w:val="00E761DD"/>
    <w:rsid w:val="00E87946"/>
    <w:rsid w:val="00EA6A01"/>
    <w:rsid w:val="00EB16D7"/>
    <w:rsid w:val="00EB1CF1"/>
    <w:rsid w:val="00ED2E2B"/>
    <w:rsid w:val="00EE09D3"/>
    <w:rsid w:val="00EE6050"/>
    <w:rsid w:val="00EF424F"/>
    <w:rsid w:val="00F016C7"/>
    <w:rsid w:val="00F03BEE"/>
    <w:rsid w:val="00F10E52"/>
    <w:rsid w:val="00F130D6"/>
    <w:rsid w:val="00F20773"/>
    <w:rsid w:val="00F3057F"/>
    <w:rsid w:val="00F40FB6"/>
    <w:rsid w:val="00F44668"/>
    <w:rsid w:val="00F63869"/>
    <w:rsid w:val="00F70503"/>
    <w:rsid w:val="00F74F6D"/>
    <w:rsid w:val="00F94E8A"/>
    <w:rsid w:val="00FA1B34"/>
    <w:rsid w:val="00FB7F53"/>
    <w:rsid w:val="00FD0EB9"/>
    <w:rsid w:val="00FD29D6"/>
    <w:rsid w:val="00FF7920"/>
    <w:rsid w:val="470D48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504F"/>
  <w15:chartTrackingRefBased/>
  <w15:docId w15:val="{51646385-E6F1-4618-9A72-C59AD8FD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FE1"/>
    <w:rPr>
      <w:rFonts w:ascii="Segoe UI" w:hAnsi="Segoe UI" w:cs="Segoe UI"/>
      <w:sz w:val="18"/>
      <w:szCs w:val="18"/>
    </w:rPr>
  </w:style>
  <w:style w:type="paragraph" w:styleId="ListParagraph">
    <w:name w:val="List Paragraph"/>
    <w:basedOn w:val="Normal"/>
    <w:uiPriority w:val="34"/>
    <w:qFormat/>
    <w:rsid w:val="000A7F9B"/>
    <w:pPr>
      <w:ind w:left="720"/>
      <w:contextualSpacing/>
    </w:pPr>
  </w:style>
  <w:style w:type="character" w:styleId="Strong">
    <w:name w:val="Strong"/>
    <w:basedOn w:val="DefaultParagraphFont"/>
    <w:uiPriority w:val="22"/>
    <w:qFormat/>
    <w:rsid w:val="00DA2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2969">
      <w:bodyDiv w:val="1"/>
      <w:marLeft w:val="0"/>
      <w:marRight w:val="0"/>
      <w:marTop w:val="0"/>
      <w:marBottom w:val="0"/>
      <w:divBdr>
        <w:top w:val="none" w:sz="0" w:space="0" w:color="auto"/>
        <w:left w:val="none" w:sz="0" w:space="0" w:color="auto"/>
        <w:bottom w:val="none" w:sz="0" w:space="0" w:color="auto"/>
        <w:right w:val="none" w:sz="0" w:space="0" w:color="auto"/>
      </w:divBdr>
      <w:divsChild>
        <w:div w:id="484781487">
          <w:marLeft w:val="0"/>
          <w:marRight w:val="0"/>
          <w:marTop w:val="0"/>
          <w:marBottom w:val="120"/>
          <w:divBdr>
            <w:top w:val="none" w:sz="0" w:space="0" w:color="auto"/>
            <w:left w:val="none" w:sz="0" w:space="0" w:color="auto"/>
            <w:bottom w:val="none" w:sz="0" w:space="0" w:color="auto"/>
            <w:right w:val="none" w:sz="0" w:space="0" w:color="auto"/>
          </w:divBdr>
          <w:divsChild>
            <w:div w:id="1900969380">
              <w:marLeft w:val="0"/>
              <w:marRight w:val="0"/>
              <w:marTop w:val="0"/>
              <w:marBottom w:val="0"/>
              <w:divBdr>
                <w:top w:val="none" w:sz="0" w:space="0" w:color="auto"/>
                <w:left w:val="none" w:sz="0" w:space="0" w:color="auto"/>
                <w:bottom w:val="none" w:sz="0" w:space="0" w:color="auto"/>
                <w:right w:val="none" w:sz="0" w:space="0" w:color="auto"/>
              </w:divBdr>
            </w:div>
          </w:divsChild>
        </w:div>
        <w:div w:id="9841093">
          <w:marLeft w:val="0"/>
          <w:marRight w:val="0"/>
          <w:marTop w:val="0"/>
          <w:marBottom w:val="120"/>
          <w:divBdr>
            <w:top w:val="none" w:sz="0" w:space="0" w:color="auto"/>
            <w:left w:val="none" w:sz="0" w:space="0" w:color="auto"/>
            <w:bottom w:val="none" w:sz="0" w:space="0" w:color="auto"/>
            <w:right w:val="none" w:sz="0" w:space="0" w:color="auto"/>
          </w:divBdr>
          <w:divsChild>
            <w:div w:id="4480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1345">
      <w:bodyDiv w:val="1"/>
      <w:marLeft w:val="0"/>
      <w:marRight w:val="0"/>
      <w:marTop w:val="0"/>
      <w:marBottom w:val="0"/>
      <w:divBdr>
        <w:top w:val="none" w:sz="0" w:space="0" w:color="auto"/>
        <w:left w:val="none" w:sz="0" w:space="0" w:color="auto"/>
        <w:bottom w:val="none" w:sz="0" w:space="0" w:color="auto"/>
        <w:right w:val="none" w:sz="0" w:space="0" w:color="auto"/>
      </w:divBdr>
      <w:divsChild>
        <w:div w:id="88238880">
          <w:marLeft w:val="0"/>
          <w:marRight w:val="0"/>
          <w:marTop w:val="0"/>
          <w:marBottom w:val="120"/>
          <w:divBdr>
            <w:top w:val="none" w:sz="0" w:space="0" w:color="auto"/>
            <w:left w:val="none" w:sz="0" w:space="0" w:color="auto"/>
            <w:bottom w:val="none" w:sz="0" w:space="0" w:color="auto"/>
            <w:right w:val="none" w:sz="0" w:space="0" w:color="auto"/>
          </w:divBdr>
          <w:divsChild>
            <w:div w:id="1028943259">
              <w:marLeft w:val="0"/>
              <w:marRight w:val="0"/>
              <w:marTop w:val="0"/>
              <w:marBottom w:val="0"/>
              <w:divBdr>
                <w:top w:val="none" w:sz="0" w:space="0" w:color="auto"/>
                <w:left w:val="none" w:sz="0" w:space="0" w:color="auto"/>
                <w:bottom w:val="none" w:sz="0" w:space="0" w:color="auto"/>
                <w:right w:val="none" w:sz="0" w:space="0" w:color="auto"/>
              </w:divBdr>
            </w:div>
          </w:divsChild>
        </w:div>
        <w:div w:id="1665472294">
          <w:marLeft w:val="0"/>
          <w:marRight w:val="0"/>
          <w:marTop w:val="0"/>
          <w:marBottom w:val="120"/>
          <w:divBdr>
            <w:top w:val="none" w:sz="0" w:space="0" w:color="auto"/>
            <w:left w:val="none" w:sz="0" w:space="0" w:color="auto"/>
            <w:bottom w:val="none" w:sz="0" w:space="0" w:color="auto"/>
            <w:right w:val="none" w:sz="0" w:space="0" w:color="auto"/>
          </w:divBdr>
          <w:divsChild>
            <w:div w:id="14002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9424</Characters>
  <Application>Microsoft Office Word</Application>
  <DocSecurity>0</DocSecurity>
  <Lines>78</Lines>
  <Paragraphs>22</Paragraphs>
  <ScaleCrop>false</ScaleCrop>
  <Company>GMIT</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Hannon</dc:creator>
  <cp:keywords/>
  <dc:description/>
  <cp:lastModifiedBy>Mary Kennedy</cp:lastModifiedBy>
  <cp:revision>2</cp:revision>
  <cp:lastPrinted>2019-11-27T21:12:00Z</cp:lastPrinted>
  <dcterms:created xsi:type="dcterms:W3CDTF">2021-02-17T12:07:00Z</dcterms:created>
  <dcterms:modified xsi:type="dcterms:W3CDTF">2021-02-17T12:07:00Z</dcterms:modified>
</cp:coreProperties>
</file>